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3A31DF8F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584DD4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95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9ED1210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584DD4" w:rsidRPr="00584DD4">
        <w:rPr>
          <w:rFonts w:asciiTheme="majorHAnsi" w:hAnsiTheme="majorHAnsi"/>
          <w:szCs w:val="20"/>
        </w:rPr>
        <w:t xml:space="preserve">Części zamienne do aparatury laboratoryjnej </w:t>
      </w:r>
      <w:r w:rsidR="00584DD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2826"/>
        <w:gridCol w:w="2226"/>
        <w:gridCol w:w="1536"/>
      </w:tblGrid>
      <w:tr w:rsidR="00743E6C" w:rsidRPr="00C579F1" w14:paraId="7885FD88" w14:textId="77777777" w:rsidTr="00584DD4">
        <w:trPr>
          <w:trHeight w:val="1686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584DD4">
        <w:trPr>
          <w:trHeight w:val="1648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4DD4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2021-08-23T13:17:00Z</dcterms:modified>
</cp:coreProperties>
</file>