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0D5435C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7055" w:rsidRPr="003F7055">
        <w:rPr>
          <w:rFonts w:asciiTheme="majorHAnsi" w:hAnsiTheme="majorHAnsi"/>
          <w:szCs w:val="20"/>
        </w:rPr>
        <w:t>PO.2720.1065.2021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2FDC08FA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3F7055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A8646D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A8646D">
        <w:rPr>
          <w:rFonts w:asciiTheme="majorHAnsi" w:hAnsiTheme="majorHAnsi"/>
          <w:b/>
          <w:szCs w:val="20"/>
        </w:rPr>
        <w:t>grafenowych</w:t>
      </w:r>
      <w:proofErr w:type="spellEnd"/>
      <w:r w:rsidRPr="00A8646D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7D755F51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A8646D">
        <w:rPr>
          <w:rFonts w:asciiTheme="majorHAnsi" w:eastAsia="Calibri" w:hAnsiTheme="majorHAnsi" w:cs="Tahoma"/>
          <w:bCs/>
          <w:szCs w:val="20"/>
        </w:rPr>
        <w:t>27</w:t>
      </w:r>
      <w:r>
        <w:rPr>
          <w:rFonts w:asciiTheme="majorHAnsi" w:eastAsia="Calibri" w:hAnsiTheme="majorHAnsi" w:cs="Tahoma"/>
          <w:bCs/>
          <w:szCs w:val="20"/>
        </w:rPr>
        <w:t>.</w:t>
      </w:r>
      <w:r w:rsidR="00A8646D">
        <w:rPr>
          <w:rFonts w:asciiTheme="majorHAnsi" w:eastAsia="Calibri" w:hAnsiTheme="majorHAnsi" w:cs="Tahoma"/>
          <w:bCs/>
          <w:szCs w:val="20"/>
        </w:rPr>
        <w:t>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A8646D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7199A0F7" w:rsidR="001B10B5" w:rsidRPr="00B65659" w:rsidRDefault="00B65659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65659">
        <w:rPr>
          <w:rFonts w:asciiTheme="majorHAnsi" w:eastAsia="Times New Roman" w:hAnsiTheme="majorHAnsi"/>
          <w:b/>
          <w:bCs/>
          <w:szCs w:val="20"/>
        </w:rPr>
        <w:t>Cena oferty wynosi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496A665E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lastRenderedPageBreak/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3F7055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8646D"/>
    <w:rsid w:val="00B61F8A"/>
    <w:rsid w:val="00B65659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3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5</cp:revision>
  <cp:lastPrinted>2020-02-10T12:13:00Z</cp:lastPrinted>
  <dcterms:created xsi:type="dcterms:W3CDTF">2021-03-30T09:45:00Z</dcterms:created>
  <dcterms:modified xsi:type="dcterms:W3CDTF">2021-12-27T12:14:00Z</dcterms:modified>
</cp:coreProperties>
</file>