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0A50" w14:textId="69A91338" w:rsidR="0031756F" w:rsidRDefault="0031756F" w:rsidP="0031756F">
      <w:pPr>
        <w:pStyle w:val="Nagwek"/>
        <w:spacing w:before="240"/>
        <w:jc w:val="right"/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  <w:u w:val="single"/>
        </w:rPr>
        <w:t>Załącznik nr 1 do zapytania ofertowego</w:t>
      </w:r>
    </w:p>
    <w:p w14:paraId="146908D9" w14:textId="6105BCC0" w:rsidR="00C01C4B" w:rsidRPr="006217A7" w:rsidRDefault="00C01C4B" w:rsidP="0031756F">
      <w:pPr>
        <w:pStyle w:val="Nagwek"/>
        <w:spacing w:before="240"/>
        <w:jc w:val="right"/>
        <w:rPr>
          <w:rFonts w:ascii="Segoe UI" w:hAnsi="Segoe UI" w:cs="Segoe UI"/>
          <w:b/>
          <w:sz w:val="18"/>
          <w:szCs w:val="18"/>
          <w:u w:val="single"/>
        </w:rPr>
      </w:pPr>
      <w:r w:rsidRPr="006217A7">
        <w:rPr>
          <w:rFonts w:ascii="Segoe UI" w:hAnsi="Segoe UI" w:cs="Segoe UI"/>
          <w:b/>
          <w:sz w:val="18"/>
          <w:szCs w:val="18"/>
          <w:u w:val="single"/>
        </w:rPr>
        <w:t>Załącznik nr 1 do Umowy:………………………..</w:t>
      </w:r>
    </w:p>
    <w:p w14:paraId="45E5A655" w14:textId="75CEAA52" w:rsidR="00C01C4B" w:rsidRPr="006217A7" w:rsidRDefault="00C01C4B" w:rsidP="00C01C4B">
      <w:pPr>
        <w:pStyle w:val="Nagwek"/>
        <w:spacing w:before="240"/>
        <w:rPr>
          <w:rFonts w:ascii="Segoe UI" w:hAnsi="Segoe UI" w:cs="Segoe UI"/>
          <w:b/>
          <w:sz w:val="18"/>
          <w:szCs w:val="18"/>
          <w:u w:val="single"/>
        </w:rPr>
      </w:pPr>
      <w:r w:rsidRPr="006217A7">
        <w:rPr>
          <w:rFonts w:ascii="Segoe UI" w:hAnsi="Segoe UI" w:cs="Segoe UI"/>
          <w:b/>
          <w:sz w:val="18"/>
          <w:szCs w:val="18"/>
          <w:u w:val="single"/>
        </w:rPr>
        <w:t xml:space="preserve"> </w:t>
      </w:r>
    </w:p>
    <w:p w14:paraId="0B8522B8" w14:textId="4B52E345" w:rsidR="00B348DA" w:rsidRPr="006217A7" w:rsidRDefault="00B348DA" w:rsidP="00B348DA">
      <w:pPr>
        <w:pStyle w:val="Nagwek"/>
        <w:spacing w:before="240"/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6217A7">
        <w:rPr>
          <w:rFonts w:ascii="Segoe UI" w:hAnsi="Segoe UI" w:cs="Segoe UI"/>
          <w:b/>
          <w:sz w:val="18"/>
          <w:szCs w:val="18"/>
          <w:u w:val="single"/>
        </w:rPr>
        <w:t>SZCZEGÓŁOWY OPIS PRZEDMIOTU ZAMÓWIENIA</w:t>
      </w:r>
    </w:p>
    <w:p w14:paraId="6032646E" w14:textId="18560D42" w:rsidR="004918C9" w:rsidRPr="006217A7" w:rsidRDefault="00640936" w:rsidP="008F1F9D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eastAsia="Calibri" w:hAnsi="Segoe UI" w:cs="Segoe UI"/>
          <w:b/>
          <w:bCs/>
          <w:szCs w:val="20"/>
        </w:rPr>
        <w:t>Elektromiograf</w:t>
      </w:r>
    </w:p>
    <w:p w14:paraId="3592663E" w14:textId="77777777" w:rsidR="008F1F9D" w:rsidRPr="006217A7" w:rsidRDefault="00F25E6B" w:rsidP="005B01CB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Segoe UI" w:hAnsi="Segoe UI" w:cs="Segoe UI"/>
          <w:b/>
          <w:sz w:val="18"/>
          <w:szCs w:val="18"/>
        </w:rPr>
      </w:pPr>
      <w:r w:rsidRPr="006217A7">
        <w:rPr>
          <w:rFonts w:ascii="Segoe UI" w:hAnsi="Segoe UI" w:cs="Segoe UI"/>
          <w:b/>
          <w:sz w:val="18"/>
          <w:szCs w:val="18"/>
        </w:rPr>
        <w:t xml:space="preserve">PARAMETRY </w:t>
      </w:r>
      <w:r w:rsidR="008F1F9D" w:rsidRPr="006217A7">
        <w:rPr>
          <w:rFonts w:ascii="Segoe UI" w:hAnsi="Segoe UI" w:cs="Segoe UI"/>
          <w:b/>
          <w:sz w:val="18"/>
          <w:szCs w:val="18"/>
        </w:rPr>
        <w:t>TECHNICZE I EKSPOATACYJNE URZĄDZENIA</w:t>
      </w:r>
    </w:p>
    <w:tbl>
      <w:tblPr>
        <w:tblW w:w="10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449"/>
        <w:gridCol w:w="7650"/>
      </w:tblGrid>
      <w:tr w:rsidR="006D0FB9" w:rsidRPr="006217A7" w14:paraId="37C4DC33" w14:textId="77777777" w:rsidTr="007D55A4">
        <w:trPr>
          <w:trHeight w:val="42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C693968" w14:textId="77777777" w:rsidR="006D0FB9" w:rsidRPr="006217A7" w:rsidRDefault="006D0FB9" w:rsidP="00CB1EF5">
            <w:pPr>
              <w:spacing w:before="0"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7BCC1F4C" w14:textId="77777777" w:rsidR="006D0FB9" w:rsidRPr="006217A7" w:rsidRDefault="006D0FB9" w:rsidP="00CB1EF5">
            <w:pPr>
              <w:spacing w:before="0"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b/>
                <w:sz w:val="18"/>
                <w:szCs w:val="18"/>
              </w:rPr>
              <w:t>Parametr</w:t>
            </w:r>
          </w:p>
        </w:tc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0D9A29D" w14:textId="77777777" w:rsidR="006D0FB9" w:rsidRPr="006217A7" w:rsidRDefault="006D0FB9" w:rsidP="00CB1EF5">
            <w:pPr>
              <w:spacing w:before="0"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b/>
                <w:sz w:val="18"/>
                <w:szCs w:val="18"/>
              </w:rPr>
              <w:t>Opis wymaganego parametru</w:t>
            </w:r>
          </w:p>
        </w:tc>
      </w:tr>
      <w:tr w:rsidR="006D0FB9" w:rsidRPr="006217A7" w14:paraId="324FEC19" w14:textId="77777777" w:rsidTr="007D55A4">
        <w:trPr>
          <w:trHeight w:val="437"/>
        </w:trPr>
        <w:tc>
          <w:tcPr>
            <w:tcW w:w="738" w:type="dxa"/>
            <w:vAlign w:val="center"/>
          </w:tcPr>
          <w:p w14:paraId="16406221" w14:textId="395337A6" w:rsidR="006D0FB9" w:rsidRPr="006217A7" w:rsidRDefault="006D0FB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lang w:eastAsia="pl-PL"/>
              </w:rPr>
            </w:pPr>
            <w:r w:rsidRPr="006217A7">
              <w:rPr>
                <w:rFonts w:ascii="Segoe UI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7D55A4" w:rsidRPr="006217A7">
              <w:rPr>
                <w:rFonts w:ascii="Segoe UI" w:hAnsi="Segoe UI" w:cs="Segoe U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14:paraId="3F01380C" w14:textId="63D45308" w:rsidR="006D0FB9" w:rsidRPr="006217A7" w:rsidRDefault="00E720A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>Podstawowe parametry:</w:t>
            </w:r>
          </w:p>
        </w:tc>
        <w:tc>
          <w:tcPr>
            <w:tcW w:w="7650" w:type="dxa"/>
            <w:vAlign w:val="center"/>
          </w:tcPr>
          <w:p w14:paraId="40FC0CE9" w14:textId="0C348186" w:rsidR="001E25B4" w:rsidRPr="001E25B4" w:rsidRDefault="001E25B4" w:rsidP="001E25B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Poniżej wymieniono wszystkie wymagane elementy zestawu, składające się na elektromiograf będący przedmiotem zapytania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>. Wszystkie elementy muszą być ze sobą kompatybilne (włączając komputer i oprogramowanie).</w:t>
            </w:r>
          </w:p>
          <w:p w14:paraId="3FCC18B4" w14:textId="62931E3E" w:rsidR="00A53F53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Wzmacniacze:</w:t>
            </w:r>
          </w:p>
          <w:p w14:paraId="7BA7902A" w14:textId="760DEE5D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3 lub 4 -kanały o czułości od 10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nV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/ dz. do 100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mV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>/ dz. (w 21 krokach);</w:t>
            </w:r>
          </w:p>
          <w:p w14:paraId="6743057A" w14:textId="51032449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CMRR &gt;/= 124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dB</w:t>
            </w:r>
            <w:proofErr w:type="spellEnd"/>
          </w:p>
          <w:p w14:paraId="0093F750" w14:textId="7FC50519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>impedancja wejściowa &gt; 200 M</w:t>
            </w:r>
            <w:r>
              <w:rPr>
                <w:rFonts w:ascii="Segoe UI" w:hAnsi="Segoe UI" w:cs="Segoe UI"/>
                <w:sz w:val="18"/>
                <w:szCs w:val="18"/>
              </w:rPr>
              <w:t>Ω</w:t>
            </w:r>
            <w:r w:rsidRPr="002C22EE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1413B254" w14:textId="255E602B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poziom szumów 0,4 </w:t>
            </w:r>
            <w:r>
              <w:rPr>
                <w:rFonts w:ascii="Segoe UI" w:hAnsi="Segoe UI" w:cs="Segoe UI"/>
                <w:sz w:val="18"/>
                <w:szCs w:val="18"/>
              </w:rPr>
              <w:t>Ω</w:t>
            </w: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V RMS w zakresie od 2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Hz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 do 10 kHz (przy zwartym wejściu wzmacniacza);</w:t>
            </w:r>
          </w:p>
          <w:p w14:paraId="7653145D" w14:textId="309C1A61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Filtry dolnoprzepustowe:</w:t>
            </w:r>
          </w:p>
          <w:p w14:paraId="6FACBD06" w14:textId="4990D400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(HFF) 30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Hz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 – 20 kHz (w 14 krokach)</w:t>
            </w:r>
          </w:p>
          <w:p w14:paraId="041AE025" w14:textId="5421D2F9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Filtry górnoprzepustowe:</w:t>
            </w:r>
          </w:p>
          <w:p w14:paraId="30A78588" w14:textId="39454155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(LFF) 0.2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Hz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 – 5 kHz (w 19 krokach)</w:t>
            </w:r>
          </w:p>
          <w:p w14:paraId="02926125" w14:textId="30E81E5D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Filtry pasmowe:</w:t>
            </w:r>
          </w:p>
          <w:p w14:paraId="53E1B05F" w14:textId="147ED623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filtr sieciowy przeciwzakłóceniowy 50 lub 60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Hz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 (wł./wył.);</w:t>
            </w:r>
          </w:p>
          <w:p w14:paraId="7D501E9C" w14:textId="60E9ABD8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Przetwornik A/C i parametry akwizycji oraz wyświetlania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F7260F8" w14:textId="0B11F4CB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>Przetwornik 24 bitowy o częstotliwości próbkowania 48 kHz/kanał</w:t>
            </w:r>
          </w:p>
          <w:p w14:paraId="4AE8D62E" w14:textId="1D4C1751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>Wyzwalanie (przebiegiem rejestrowanym): kontrolowane przez aparat, bądź ustawiane ręcznie, narastającym lub opadającym zboczem z dowolnie wybranego kanału;</w:t>
            </w:r>
          </w:p>
          <w:p w14:paraId="458FA887" w14:textId="676D96A8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>Cechy indywidualne: możliwość “przewijania” i “zoom” dla specyficznych testów;</w:t>
            </w:r>
          </w:p>
          <w:p w14:paraId="7239A011" w14:textId="6DD81482" w:rsidR="002C22EE" w:rsidRDefault="002C22EE" w:rsidP="002C22EE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>Czułość wyświetlania: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 minimalnie w zakresie</w:t>
            </w:r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 od 10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nV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/ dz. do 100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mV</w:t>
            </w:r>
            <w:proofErr w:type="spellEnd"/>
            <w:r w:rsidRPr="002C22EE">
              <w:rPr>
                <w:rFonts w:ascii="Segoe UI" w:hAnsi="Segoe UI" w:cs="Segoe UI"/>
                <w:sz w:val="18"/>
                <w:szCs w:val="18"/>
              </w:rPr>
              <w:t xml:space="preserve">/ </w:t>
            </w:r>
            <w:proofErr w:type="spellStart"/>
            <w:r w:rsidRPr="002C22EE">
              <w:rPr>
                <w:rFonts w:ascii="Segoe UI" w:hAnsi="Segoe UI" w:cs="Segoe UI"/>
                <w:sz w:val="18"/>
                <w:szCs w:val="18"/>
              </w:rPr>
              <w:t>dz</w:t>
            </w:r>
            <w:proofErr w:type="spellEnd"/>
          </w:p>
          <w:p w14:paraId="03A894CF" w14:textId="720A6857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Podstawa czasu:</w:t>
            </w:r>
          </w:p>
          <w:p w14:paraId="1451B6D6" w14:textId="0951676F" w:rsidR="002C22EE" w:rsidRDefault="00A464F5" w:rsidP="00A464F5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A464F5">
              <w:rPr>
                <w:rFonts w:ascii="Segoe UI" w:hAnsi="Segoe UI" w:cs="Segoe UI"/>
                <w:sz w:val="18"/>
                <w:szCs w:val="18"/>
              </w:rPr>
              <w:t xml:space="preserve">Zakres podstawy czasu: 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minimalnie w zakresie </w:t>
            </w:r>
            <w:r w:rsidRPr="00A464F5">
              <w:rPr>
                <w:rFonts w:ascii="Segoe UI" w:hAnsi="Segoe UI" w:cs="Segoe UI"/>
                <w:sz w:val="18"/>
                <w:szCs w:val="18"/>
              </w:rPr>
              <w:t>od 0.5 ms/działkę do 5 s/działkę w 24 krokach w zależności od testu (badania);</w:t>
            </w:r>
          </w:p>
          <w:p w14:paraId="7202B09B" w14:textId="3133D716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Stymulator prądowy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F7897" w:rsidRPr="00640936">
              <w:rPr>
                <w:rFonts w:ascii="Segoe UI" w:hAnsi="Segoe UI" w:cs="Segoe UI"/>
                <w:sz w:val="18"/>
                <w:szCs w:val="18"/>
              </w:rPr>
              <w:t>(wbudowany w moduł medyczny)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3F1F76B6" w14:textId="368E752F" w:rsidR="00A464F5" w:rsidRPr="00A464F5" w:rsidRDefault="00A464F5" w:rsidP="00A464F5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A464F5">
              <w:rPr>
                <w:rFonts w:ascii="Segoe UI" w:hAnsi="Segoe UI" w:cs="Segoe UI"/>
                <w:sz w:val="18"/>
                <w:szCs w:val="18"/>
              </w:rPr>
              <w:t>1/2-kanałowy, izolowany stymulator elektryczny z sondą i zdalnym sterowaniem, zakres stymulacji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 przynajmniej w zakresie</w:t>
            </w:r>
            <w:r w:rsidRPr="00A464F5">
              <w:rPr>
                <w:rFonts w:ascii="Segoe UI" w:hAnsi="Segoe UI" w:cs="Segoe UI"/>
                <w:sz w:val="18"/>
                <w:szCs w:val="18"/>
              </w:rPr>
              <w:t xml:space="preserve"> od 0 do 100mA</w:t>
            </w:r>
          </w:p>
          <w:p w14:paraId="351A01DA" w14:textId="21310A2A" w:rsidR="00A464F5" w:rsidRPr="00A464F5" w:rsidRDefault="00A464F5" w:rsidP="00A464F5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A464F5">
              <w:rPr>
                <w:rFonts w:ascii="Segoe UI" w:hAnsi="Segoe UI" w:cs="Segoe UI"/>
                <w:sz w:val="18"/>
                <w:szCs w:val="18"/>
              </w:rPr>
              <w:t>czas trwania bodźca: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 minimalnie w zakresie</w:t>
            </w:r>
            <w:r w:rsidRPr="00A464F5">
              <w:rPr>
                <w:rFonts w:ascii="Segoe UI" w:hAnsi="Segoe UI" w:cs="Segoe UI"/>
                <w:sz w:val="18"/>
                <w:szCs w:val="18"/>
              </w:rPr>
              <w:t xml:space="preserve"> od 0,04 do 1 ms;</w:t>
            </w:r>
          </w:p>
          <w:p w14:paraId="41C5EAF3" w14:textId="4F2C8DB4" w:rsidR="00A464F5" w:rsidRPr="00A464F5" w:rsidRDefault="00A464F5" w:rsidP="00A464F5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A464F5">
              <w:rPr>
                <w:rFonts w:ascii="Segoe UI" w:hAnsi="Segoe UI" w:cs="Segoe UI"/>
                <w:sz w:val="18"/>
                <w:szCs w:val="18"/>
              </w:rPr>
              <w:t>rodzaj bodźca: pojedynczy, podwójny lub seria z możliwością powtarzania;</w:t>
            </w:r>
          </w:p>
          <w:p w14:paraId="3119D193" w14:textId="5192BEA2" w:rsidR="00A464F5" w:rsidRDefault="00A464F5" w:rsidP="00A464F5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A464F5">
              <w:rPr>
                <w:rFonts w:ascii="Segoe UI" w:hAnsi="Segoe UI" w:cs="Segoe UI"/>
                <w:sz w:val="18"/>
                <w:szCs w:val="18"/>
              </w:rPr>
              <w:t xml:space="preserve">częstotliwość bodźca: 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minimalnie w zakresie </w:t>
            </w:r>
            <w:r w:rsidRPr="00A464F5">
              <w:rPr>
                <w:rFonts w:ascii="Segoe UI" w:hAnsi="Segoe UI" w:cs="Segoe UI"/>
                <w:sz w:val="18"/>
                <w:szCs w:val="18"/>
              </w:rPr>
              <w:t>od 0,2 do 200 na sekundę;</w:t>
            </w:r>
          </w:p>
          <w:p w14:paraId="09F2D8AF" w14:textId="40CF1070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Stymulator słuchowy (wbudowany w moduł medyczny):</w:t>
            </w:r>
          </w:p>
          <w:p w14:paraId="6C33D93A" w14:textId="63108864" w:rsidR="00F35D76" w:rsidRPr="00F35D76" w:rsidRDefault="00F35D76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F35D76">
              <w:rPr>
                <w:rFonts w:ascii="Segoe UI" w:hAnsi="Segoe UI" w:cs="Segoe UI"/>
                <w:sz w:val="18"/>
                <w:szCs w:val="18"/>
              </w:rPr>
              <w:t>Rodzaj bodźca: trzask (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click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>), krótki impuls tonalny (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tone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 pip), długi impuls tonalny (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tone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burst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>);</w:t>
            </w:r>
          </w:p>
          <w:p w14:paraId="1C2184B4" w14:textId="1CEB6C33" w:rsidR="00F35D76" w:rsidRPr="00F35D76" w:rsidRDefault="00F35D76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Natężenie bodźca: 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przynajmniej w zakresie </w:t>
            </w:r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od 0 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dB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 do 132 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dB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pSPL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>, zależnie od rodzaju stymulacji, częstotliwości i zastosowanego przetwornika;</w:t>
            </w:r>
          </w:p>
          <w:p w14:paraId="4CEC9FF7" w14:textId="6A799130" w:rsidR="00F35D76" w:rsidRPr="00F35D76" w:rsidRDefault="00F35D76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F35D76">
              <w:rPr>
                <w:rFonts w:ascii="Segoe UI" w:hAnsi="Segoe UI" w:cs="Segoe UI"/>
                <w:sz w:val="18"/>
                <w:szCs w:val="18"/>
              </w:rPr>
              <w:t>Polaryzacja bodźca: kondensacja (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condensation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>), rozrzedzanie (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rarefaction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>),</w:t>
            </w:r>
            <w:r w:rsidR="00847F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35D76">
              <w:rPr>
                <w:rFonts w:ascii="Segoe UI" w:hAnsi="Segoe UI" w:cs="Segoe UI"/>
                <w:sz w:val="18"/>
                <w:szCs w:val="18"/>
              </w:rPr>
              <w:t>naprzemienny (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alternating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>);</w:t>
            </w:r>
          </w:p>
          <w:p w14:paraId="2CC1B7E0" w14:textId="28EC162D" w:rsidR="00F35D76" w:rsidRPr="00F35D76" w:rsidRDefault="00F35D76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Częstotliwości bodźca tonalnego: 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przynajmniej </w:t>
            </w:r>
            <w:r w:rsidRPr="00F35D76">
              <w:rPr>
                <w:rFonts w:ascii="Segoe UI" w:hAnsi="Segoe UI" w:cs="Segoe UI"/>
                <w:sz w:val="18"/>
                <w:szCs w:val="18"/>
              </w:rPr>
              <w:t>250 Hz,500 Hz,750 Hz,1 kHz,1.5 kHz,2 kHz,3 kHz,4 kHz,6 kHz,8 kHz;</w:t>
            </w:r>
          </w:p>
          <w:p w14:paraId="1EB7CA7E" w14:textId="5CDF5B4A" w:rsidR="00F35D76" w:rsidRPr="00F35D76" w:rsidRDefault="00F35D76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Obwiednie impulsów tonalnych: liniowa, Gauss, Hanning, 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Blackman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0BE00D82" w14:textId="229B590E" w:rsidR="00F35D76" w:rsidRPr="00F35D76" w:rsidRDefault="00F35D76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F35D76">
              <w:rPr>
                <w:rFonts w:ascii="Segoe UI" w:hAnsi="Segoe UI" w:cs="Segoe UI"/>
                <w:sz w:val="18"/>
                <w:szCs w:val="18"/>
              </w:rPr>
              <w:t>Szum: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 minimalny zakres</w:t>
            </w:r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 -50 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dB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 - 10 </w:t>
            </w:r>
            <w:proofErr w:type="spellStart"/>
            <w:r w:rsidRPr="00F35D76">
              <w:rPr>
                <w:rFonts w:ascii="Segoe UI" w:hAnsi="Segoe UI" w:cs="Segoe UI"/>
                <w:sz w:val="18"/>
                <w:szCs w:val="18"/>
              </w:rPr>
              <w:t>dB</w:t>
            </w:r>
            <w:proofErr w:type="spellEnd"/>
            <w:r w:rsidRPr="00F35D76">
              <w:rPr>
                <w:rFonts w:ascii="Segoe UI" w:hAnsi="Segoe UI" w:cs="Segoe UI"/>
                <w:sz w:val="18"/>
                <w:szCs w:val="18"/>
              </w:rPr>
              <w:t xml:space="preserve"> w zależności od poziomu stymulacji</w:t>
            </w:r>
          </w:p>
          <w:p w14:paraId="4FB353D0" w14:textId="63B5CD03" w:rsidR="00A464F5" w:rsidRDefault="00F35D76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F35D76">
              <w:rPr>
                <w:rFonts w:ascii="Segoe UI" w:hAnsi="Segoe UI" w:cs="Segoe UI"/>
                <w:sz w:val="18"/>
                <w:szCs w:val="18"/>
              </w:rPr>
              <w:t>Przetworniki: słuchawki 10 OHM (nauszne, wewnątrz uszne lub kostne);</w:t>
            </w:r>
          </w:p>
          <w:p w14:paraId="6FBE2CE4" w14:textId="5B25F85C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Stymulator wzrokowy:</w:t>
            </w:r>
          </w:p>
          <w:p w14:paraId="2F2ABC7B" w14:textId="20BE4FF3" w:rsidR="002D322F" w:rsidRPr="002D322F" w:rsidRDefault="002D322F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D322F">
              <w:rPr>
                <w:rFonts w:ascii="Segoe UI" w:hAnsi="Segoe UI" w:cs="Segoe UI"/>
                <w:sz w:val="18"/>
                <w:szCs w:val="18"/>
              </w:rPr>
              <w:lastRenderedPageBreak/>
              <w:t>Wbudowany stymulator</w:t>
            </w:r>
          </w:p>
          <w:p w14:paraId="158D96B3" w14:textId="184BE8CC" w:rsidR="002D322F" w:rsidRPr="002D322F" w:rsidRDefault="002D322F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D322F">
              <w:rPr>
                <w:rFonts w:ascii="Segoe UI" w:hAnsi="Segoe UI" w:cs="Segoe UI"/>
                <w:sz w:val="18"/>
                <w:szCs w:val="18"/>
              </w:rPr>
              <w:t>Monitor: min 17”;</w:t>
            </w:r>
          </w:p>
          <w:p w14:paraId="349916EA" w14:textId="033D873B" w:rsidR="002D322F" w:rsidRPr="00847F6C" w:rsidRDefault="002D322F" w:rsidP="00847F6C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D322F">
              <w:rPr>
                <w:rFonts w:ascii="Segoe UI" w:hAnsi="Segoe UI" w:cs="Segoe UI"/>
                <w:sz w:val="18"/>
                <w:szCs w:val="18"/>
              </w:rPr>
              <w:t>Typ bodźca stymulacyjnego: szachownice, pasy poziome, pasy</w:t>
            </w:r>
            <w:r w:rsidR="00847F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47F6C">
              <w:rPr>
                <w:rFonts w:ascii="Segoe UI" w:hAnsi="Segoe UI" w:cs="Segoe UI"/>
                <w:sz w:val="18"/>
                <w:szCs w:val="18"/>
              </w:rPr>
              <w:t>pionowe</w:t>
            </w:r>
          </w:p>
          <w:p w14:paraId="7010E83F" w14:textId="17800644" w:rsidR="002D322F" w:rsidRPr="002D322F" w:rsidRDefault="002D322F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D322F">
              <w:rPr>
                <w:rFonts w:ascii="Segoe UI" w:hAnsi="Segoe UI" w:cs="Segoe UI"/>
                <w:sz w:val="18"/>
                <w:szCs w:val="18"/>
              </w:rPr>
              <w:t>Pola stymulacyjne: pełne, połówki, ćwiartki</w:t>
            </w:r>
          </w:p>
          <w:p w14:paraId="53AA9F8A" w14:textId="497A2888" w:rsidR="002D322F" w:rsidRPr="002D322F" w:rsidRDefault="002D322F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D322F">
              <w:rPr>
                <w:rFonts w:ascii="Segoe UI" w:hAnsi="Segoe UI" w:cs="Segoe UI"/>
                <w:sz w:val="18"/>
                <w:szCs w:val="18"/>
              </w:rPr>
              <w:t xml:space="preserve">Częstotliwość bodźca odwracalnego: 0.02-200 </w:t>
            </w:r>
            <w:proofErr w:type="spellStart"/>
            <w:r w:rsidRPr="002D322F">
              <w:rPr>
                <w:rFonts w:ascii="Segoe UI" w:hAnsi="Segoe UI" w:cs="Segoe UI"/>
                <w:sz w:val="18"/>
                <w:szCs w:val="18"/>
              </w:rPr>
              <w:t>Hz</w:t>
            </w:r>
            <w:proofErr w:type="spellEnd"/>
          </w:p>
          <w:p w14:paraId="5AB5BBA2" w14:textId="1BF4C9BA" w:rsidR="002D322F" w:rsidRDefault="002D322F" w:rsidP="002D322F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D322F">
              <w:rPr>
                <w:rFonts w:ascii="Segoe UI" w:hAnsi="Segoe UI" w:cs="Segoe UI"/>
                <w:sz w:val="18"/>
                <w:szCs w:val="18"/>
              </w:rPr>
              <w:t>Liczba pól: 8, 16, 24, 32, 64, 128 szachownic/pasków</w:t>
            </w:r>
          </w:p>
          <w:p w14:paraId="26D9F3A5" w14:textId="18EBA815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Zasilanie:</w:t>
            </w:r>
          </w:p>
          <w:p w14:paraId="239BFA5C" w14:textId="17CDC505" w:rsidR="002D322F" w:rsidRDefault="002D322F" w:rsidP="00407AB2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2D322F">
              <w:rPr>
                <w:rFonts w:ascii="Segoe UI" w:hAnsi="Segoe UI" w:cs="Segoe UI"/>
                <w:sz w:val="18"/>
                <w:szCs w:val="18"/>
              </w:rPr>
              <w:t>100 - 120 V / 220 - 240 V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2D322F">
              <w:rPr>
                <w:rFonts w:ascii="Segoe UI" w:hAnsi="Segoe UI" w:cs="Segoe UI"/>
                <w:sz w:val="18"/>
                <w:szCs w:val="18"/>
              </w:rPr>
              <w:t xml:space="preserve"> 10% (50/60 </w:t>
            </w:r>
            <w:proofErr w:type="spellStart"/>
            <w:r w:rsidRPr="002D322F">
              <w:rPr>
                <w:rFonts w:ascii="Segoe UI" w:hAnsi="Segoe UI" w:cs="Segoe UI"/>
                <w:sz w:val="18"/>
                <w:szCs w:val="18"/>
              </w:rPr>
              <w:t>Hz</w:t>
            </w:r>
            <w:proofErr w:type="spellEnd"/>
            <w:r w:rsidRPr="002D322F">
              <w:rPr>
                <w:rFonts w:ascii="Segoe UI" w:hAnsi="Segoe UI" w:cs="Segoe UI"/>
                <w:sz w:val="18"/>
                <w:szCs w:val="18"/>
              </w:rPr>
              <w:t>); Max. 300VA</w:t>
            </w:r>
          </w:p>
          <w:p w14:paraId="043077E2" w14:textId="4E08EB2B" w:rsidR="00640936" w:rsidRDefault="00640936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Stopień bezpieczeństwa:</w:t>
            </w:r>
          </w:p>
          <w:p w14:paraId="4732BD0B" w14:textId="3F459A2C" w:rsidR="00407AB2" w:rsidRDefault="00717D46" w:rsidP="00407AB2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BF;</w:t>
            </w:r>
          </w:p>
          <w:p w14:paraId="5CA0D4AA" w14:textId="7D190CC7" w:rsidR="00640936" w:rsidRDefault="00640936" w:rsidP="00CD1F33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640936">
              <w:rPr>
                <w:rFonts w:ascii="Segoe UI" w:hAnsi="Segoe UI" w:cs="Segoe UI"/>
                <w:sz w:val="18"/>
                <w:szCs w:val="18"/>
              </w:rPr>
              <w:t>Komputer + system operacyjny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>, wymagania minimalne</w:t>
            </w:r>
            <w:r w:rsidRPr="00640936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BFAC10C" w14:textId="12E5150E" w:rsidR="00717D46" w:rsidRDefault="00717D46" w:rsidP="00717D46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Komputer stacjonarny z procesorem Intel (dane aktualizowane na bieżąco), nagrywarka CDR/RW lub DVD, karta sieciowa, komunikacja z modułem medycznym poprzez złącze USB;</w:t>
            </w:r>
          </w:p>
          <w:p w14:paraId="79658682" w14:textId="0480F712" w:rsidR="001E25B4" w:rsidRPr="00717D46" w:rsidRDefault="001E25B4" w:rsidP="00717D46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Monitor 23’’</w:t>
            </w:r>
          </w:p>
          <w:p w14:paraId="5DCCE5E4" w14:textId="5FB82E58" w:rsidR="00717D46" w:rsidRPr="00847F6C" w:rsidRDefault="00717D46" w:rsidP="00717D46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847F6C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system </w:t>
            </w:r>
            <w:proofErr w:type="spellStart"/>
            <w:r w:rsidRPr="00847F6C">
              <w:rPr>
                <w:rFonts w:ascii="Segoe UI" w:hAnsi="Segoe UI" w:cs="Segoe UI"/>
                <w:sz w:val="18"/>
                <w:szCs w:val="18"/>
                <w:lang w:val="en-GB"/>
              </w:rPr>
              <w:t>operacyjny</w:t>
            </w:r>
            <w:proofErr w:type="spellEnd"/>
            <w:r w:rsidRPr="00847F6C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Windows7/8/10 Pro;</w:t>
            </w:r>
            <w:r w:rsidR="001E25B4" w:rsidRPr="00847F6C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MS Office</w:t>
            </w:r>
          </w:p>
          <w:p w14:paraId="4B689B2B" w14:textId="65643305" w:rsidR="00717D46" w:rsidRPr="00CD1F33" w:rsidRDefault="00717D46" w:rsidP="00717D46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zastosowane tzw. "przetwarzanie równoległe", pozwalające jednocześnie rejestrować, wyświetlać, wypisywać i analizować sygnał w czasie rzeczywistym;</w:t>
            </w:r>
          </w:p>
          <w:p w14:paraId="2D0F8A19" w14:textId="14594B70" w:rsidR="00640936" w:rsidRDefault="002C22EE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>Program “EMG/NCS”:</w:t>
            </w:r>
          </w:p>
          <w:p w14:paraId="7DB6609D" w14:textId="77777777" w:rsidR="00717D46" w:rsidRPr="00717D46" w:rsidRDefault="00717D46" w:rsidP="007F7897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Przeznaczenie/sposób działania:</w:t>
            </w:r>
          </w:p>
          <w:p w14:paraId="58A563A4" w14:textId="70DEF8C3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Program 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 xml:space="preserve">powinien 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t>zawiera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>ć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zestaw podprogramów pokrywający</w:t>
            </w:r>
            <w:r w:rsidR="007F7897">
              <w:rPr>
                <w:rFonts w:ascii="Segoe UI" w:hAnsi="Segoe UI" w:cs="Segoe UI"/>
                <w:sz w:val="18"/>
                <w:szCs w:val="18"/>
              </w:rPr>
              <w:t>ch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w pełni kliniczne badania przewodnictwa nerwowego i podstawowych badań z zakresu EMG igłowego.</w:t>
            </w:r>
          </w:p>
          <w:p w14:paraId="5BEC671D" w14:textId="77777777" w:rsidR="00717D46" w:rsidRPr="00717D46" w:rsidRDefault="00717D46" w:rsidP="007F7897">
            <w:pPr>
              <w:pStyle w:val="Akapitzlist"/>
              <w:numPr>
                <w:ilvl w:val="1"/>
                <w:numId w:val="21"/>
              </w:numPr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NCS (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Nerve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Conduction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Studies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173CA9E4" w14:textId="6422ADE8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Część NCS programu </w:t>
            </w:r>
            <w:r w:rsidR="00847F6C">
              <w:rPr>
                <w:rFonts w:ascii="Segoe UI" w:hAnsi="Segoe UI" w:cs="Segoe UI"/>
                <w:sz w:val="18"/>
                <w:szCs w:val="18"/>
              </w:rPr>
              <w:t xml:space="preserve">powinna 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t>zawiera</w:t>
            </w:r>
            <w:r w:rsidR="00847F6C">
              <w:rPr>
                <w:rFonts w:ascii="Segoe UI" w:hAnsi="Segoe UI" w:cs="Segoe UI"/>
                <w:sz w:val="18"/>
                <w:szCs w:val="18"/>
              </w:rPr>
              <w:t>ć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wszystkie możliwości badań z zakresu czuciowego i ruchowego przewodnictwa nerwowego włącznie z testem kolizyjnym, testem czasu refrakcji i pobudzenia nerwu, rejestracje fal F i H, pomiar dekrementu amplitudy i pola przy stymulacji powtarzalnej, 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blink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long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- 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loop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reflex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i inne:</w:t>
            </w:r>
          </w:p>
          <w:p w14:paraId="0D4E47F4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NCS - elektroneurografia / badanie szybkości przewodzenia wraz z wbudowanym atlasem anatomicznym (z możliwością wprowadzania własnych obrazów anatomicznych) oraz z możliwością wprowadzania norm przewodnictwa;</w:t>
            </w:r>
          </w:p>
          <w:p w14:paraId="0F2B10FE" w14:textId="29DDCEF8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Przewodnictwo ruchowe i czuciowe z możliwością przeprowadzenia min. 30 prób na jednym odprowadzeniu i późniejszego wyboru krzywej do oceny (przewijanie „przód” / „tył”) oraz uśredniania off-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line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; </w:t>
            </w:r>
            <w:r w:rsidR="00847F6C">
              <w:rPr>
                <w:rFonts w:ascii="Segoe UI" w:hAnsi="Segoe UI" w:cs="Segoe UI"/>
                <w:sz w:val="18"/>
                <w:szCs w:val="18"/>
              </w:rPr>
              <w:t xml:space="preserve">powinna być 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dostępna funkcja „prostowania” wykresów odpowiedzi; na ekranie </w:t>
            </w:r>
            <w:r w:rsidR="00847F6C">
              <w:rPr>
                <w:rFonts w:ascii="Segoe UI" w:hAnsi="Segoe UI" w:cs="Segoe UI"/>
                <w:sz w:val="18"/>
                <w:szCs w:val="18"/>
              </w:rPr>
              <w:t xml:space="preserve">powinno być 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t>dostępne okienko ciągłego podglądu sygnału wejściowego;</w:t>
            </w:r>
          </w:p>
          <w:p w14:paraId="0237A057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Wielopunktowe przewodnictwo mieszane (rejestracja przewodnictwa ruchowego i czuciowego wykonana w tym samym czasie na jednym programie i prezentacja na jednym ekranie);</w:t>
            </w:r>
          </w:p>
          <w:p w14:paraId="2B0EE8B2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Możliwość porównania na jednym ekranie wyników z lewej/prawej strony oraz z kolejnych wizyt;</w:t>
            </w:r>
          </w:p>
          <w:p w14:paraId="7601CC41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Przewodnictwo segmentalne;</w:t>
            </w:r>
          </w:p>
          <w:p w14:paraId="3E05D76B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Fala F i H (z funkcją „prostowania” wykresów odpowiedzi);</w:t>
            </w:r>
          </w:p>
          <w:p w14:paraId="0125FCD1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Próba męczliwości z możliwością ustawienia sekwencji automatycznie wyzwalanych, w zadanych odstępach czasu, ciągów impulsów stymulujących dla kolejnych prób;</w:t>
            </w:r>
          </w:p>
          <w:p w14:paraId="29608258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- Odruch mrugania (Blink 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Reflex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>) wywoływany elektrycznie i mechanicznie;</w:t>
            </w:r>
          </w:p>
          <w:p w14:paraId="76752815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współczulna odpowiedź skórna (SSR),</w:t>
            </w:r>
          </w:p>
          <w:p w14:paraId="27B48B83" w14:textId="533218D9" w:rsid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badanie zmienności rytmu serca (HRV),</w:t>
            </w:r>
          </w:p>
          <w:p w14:paraId="52856E1E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EMG podstawowe 1-kanałowe, w tym:</w:t>
            </w:r>
          </w:p>
          <w:p w14:paraId="63DE5C86" w14:textId="5ACAB2A5" w:rsidR="00717D46" w:rsidRPr="00717D46" w:rsidRDefault="007F7897" w:rsidP="007F7897">
            <w:pPr>
              <w:pStyle w:val="Akapitzlist"/>
              <w:ind w:left="15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●</w:t>
            </w:r>
            <w:r w:rsidR="00717D46" w:rsidRPr="00717D46">
              <w:rPr>
                <w:rFonts w:ascii="Segoe UI" w:hAnsi="Segoe UI" w:cs="Segoe UI"/>
                <w:sz w:val="18"/>
                <w:szCs w:val="18"/>
              </w:rPr>
              <w:t xml:space="preserve"> Rejestracja czynności spontanicznej; możliwość zapisu na dysk min. 5 minut przebiegów;</w:t>
            </w:r>
          </w:p>
          <w:p w14:paraId="64906289" w14:textId="64F30843" w:rsidR="00717D46" w:rsidRPr="00717D46" w:rsidRDefault="007F7897" w:rsidP="007F7897">
            <w:pPr>
              <w:pStyle w:val="Akapitzlist"/>
              <w:ind w:left="15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●</w:t>
            </w:r>
            <w:r w:rsidR="00717D46" w:rsidRPr="00717D46">
              <w:rPr>
                <w:rFonts w:ascii="Segoe UI" w:hAnsi="Segoe UI" w:cs="Segoe UI"/>
                <w:sz w:val="18"/>
                <w:szCs w:val="18"/>
              </w:rPr>
              <w:t xml:space="preserve"> Próba wysiłkowa (pomiary: max amplitudy, RMS – średnia ważona amplitudy, MRV – odwrócona średnia ważona amplitudy, TURNS/</w:t>
            </w:r>
            <w:proofErr w:type="spellStart"/>
            <w:r w:rsidR="00717D46" w:rsidRPr="00717D46">
              <w:rPr>
                <w:rFonts w:ascii="Segoe UI" w:hAnsi="Segoe UI" w:cs="Segoe UI"/>
                <w:sz w:val="18"/>
                <w:szCs w:val="18"/>
              </w:rPr>
              <w:t>sek</w:t>
            </w:r>
            <w:proofErr w:type="spellEnd"/>
            <w:r w:rsidR="00717D46" w:rsidRPr="00717D46">
              <w:rPr>
                <w:rFonts w:ascii="Segoe UI" w:hAnsi="Segoe UI" w:cs="Segoe UI"/>
                <w:sz w:val="18"/>
                <w:szCs w:val="18"/>
              </w:rPr>
              <w:t xml:space="preserve"> – ilość zmian zwrotów krzywej EMG); możliwość zapisu na dysk min. 5 minut przebiegów;</w:t>
            </w:r>
          </w:p>
          <w:p w14:paraId="12210427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EMG zaawansowane 1-kanałowe, obejmujące rejestrację czynności spontanicznej o zadanych warunkach (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triggered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) z możliwością uśredniania i </w:t>
            </w:r>
            <w:r w:rsidRPr="00717D46">
              <w:rPr>
                <w:rFonts w:ascii="Segoe UI" w:hAnsi="Segoe UI" w:cs="Segoe UI"/>
                <w:sz w:val="18"/>
                <w:szCs w:val="18"/>
              </w:rPr>
              <w:lastRenderedPageBreak/>
              <w:t>analizy off-</w:t>
            </w:r>
            <w:proofErr w:type="spellStart"/>
            <w:r w:rsidRPr="00717D46">
              <w:rPr>
                <w:rFonts w:ascii="Segoe UI" w:hAnsi="Segoe UI" w:cs="Segoe UI"/>
                <w:sz w:val="18"/>
                <w:szCs w:val="18"/>
              </w:rPr>
              <w:t>line</w:t>
            </w:r>
            <w:proofErr w:type="spellEnd"/>
            <w:r w:rsidRPr="00717D46">
              <w:rPr>
                <w:rFonts w:ascii="Segoe UI" w:hAnsi="Segoe UI" w:cs="Segoe UI"/>
                <w:sz w:val="18"/>
                <w:szCs w:val="18"/>
              </w:rPr>
              <w:t xml:space="preserve"> oraz automatyczną analizę ilościową EMG; możliwość zapisu na dysk min. 5 minut przebiegów;</w:t>
            </w:r>
          </w:p>
          <w:p w14:paraId="17A9129A" w14:textId="77777777" w:rsidR="00717D46" w:rsidRPr="00717D46" w:rsidRDefault="00717D46" w:rsidP="007F7897">
            <w:pPr>
              <w:pStyle w:val="Akapitzlist"/>
              <w:ind w:left="1267"/>
              <w:rPr>
                <w:rFonts w:ascii="Segoe UI" w:hAnsi="Segoe UI" w:cs="Segoe UI"/>
                <w:sz w:val="18"/>
                <w:szCs w:val="18"/>
              </w:rPr>
            </w:pPr>
            <w:r w:rsidRPr="00717D46">
              <w:rPr>
                <w:rFonts w:ascii="Segoe UI" w:hAnsi="Segoe UI" w:cs="Segoe UI"/>
                <w:sz w:val="18"/>
                <w:szCs w:val="18"/>
              </w:rPr>
              <w:t>- EMG zaawansowane 1, 2, 3, 4 - kanałowe, w tym:</w:t>
            </w:r>
          </w:p>
          <w:p w14:paraId="4C3B6DE5" w14:textId="6647AFB7" w:rsidR="00717D46" w:rsidRPr="00717D46" w:rsidRDefault="001E1888" w:rsidP="001E1888">
            <w:pPr>
              <w:pStyle w:val="Akapitzlist"/>
              <w:ind w:left="15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● </w:t>
            </w:r>
            <w:r w:rsidR="00717D46" w:rsidRPr="00717D46">
              <w:rPr>
                <w:rFonts w:ascii="Segoe UI" w:hAnsi="Segoe UI" w:cs="Segoe UI"/>
                <w:sz w:val="18"/>
                <w:szCs w:val="18"/>
              </w:rPr>
              <w:t>Rejestracja czynności spontanicznej; możliwość zapisu na dysk min. 5 minut przebiegów;</w:t>
            </w:r>
          </w:p>
          <w:p w14:paraId="43F03133" w14:textId="415750E8" w:rsidR="00717D46" w:rsidRDefault="001E1888" w:rsidP="001E1888">
            <w:pPr>
              <w:pStyle w:val="Akapitzlist"/>
              <w:ind w:left="15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● </w:t>
            </w:r>
            <w:r w:rsidR="00717D46" w:rsidRPr="00717D46">
              <w:rPr>
                <w:rFonts w:ascii="Segoe UI" w:hAnsi="Segoe UI" w:cs="Segoe UI"/>
                <w:sz w:val="18"/>
                <w:szCs w:val="18"/>
              </w:rPr>
              <w:t>próba wysiłkowa (pomiary: max amplitudy, RMS – średnia ważona amplitudy, MRV – odwrócona średnia ważona amplitudy, TURNS/</w:t>
            </w:r>
            <w:proofErr w:type="spellStart"/>
            <w:r w:rsidR="00717D46" w:rsidRPr="00717D46">
              <w:rPr>
                <w:rFonts w:ascii="Segoe UI" w:hAnsi="Segoe UI" w:cs="Segoe UI"/>
                <w:sz w:val="18"/>
                <w:szCs w:val="18"/>
              </w:rPr>
              <w:t>sek</w:t>
            </w:r>
            <w:proofErr w:type="spellEnd"/>
            <w:r w:rsidR="00717D46" w:rsidRPr="00717D46">
              <w:rPr>
                <w:rFonts w:ascii="Segoe UI" w:hAnsi="Segoe UI" w:cs="Segoe UI"/>
                <w:sz w:val="18"/>
                <w:szCs w:val="18"/>
              </w:rPr>
              <w:t xml:space="preserve"> – ilość zmian zwrotów EMG); możliwość zapisu na dysk min. 5 minut przebiegów;</w:t>
            </w:r>
          </w:p>
          <w:p w14:paraId="2FE3597D" w14:textId="35874C50" w:rsidR="002C22EE" w:rsidRDefault="002C22EE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 w:rsidRPr="002C22EE">
              <w:rPr>
                <w:rFonts w:ascii="Segoe UI" w:hAnsi="Segoe UI" w:cs="Segoe UI"/>
                <w:sz w:val="18"/>
                <w:szCs w:val="18"/>
              </w:rPr>
              <w:t>Oprogramowanie administracyjne:</w:t>
            </w:r>
          </w:p>
          <w:p w14:paraId="2287589B" w14:textId="07EF5D8D" w:rsidR="001E25B4" w:rsidRPr="001E25B4" w:rsidRDefault="001E25B4" w:rsidP="001E1888">
            <w:pPr>
              <w:pStyle w:val="Akapitzlist"/>
              <w:numPr>
                <w:ilvl w:val="1"/>
                <w:numId w:val="21"/>
              </w:numPr>
              <w:ind w:left="1264"/>
              <w:rPr>
                <w:rFonts w:ascii="Segoe UI" w:hAnsi="Segoe UI" w:cs="Segoe UI"/>
                <w:sz w:val="18"/>
                <w:szCs w:val="18"/>
              </w:rPr>
            </w:pPr>
            <w:r w:rsidRPr="001E25B4">
              <w:rPr>
                <w:rFonts w:ascii="Segoe UI" w:hAnsi="Segoe UI" w:cs="Segoe UI"/>
                <w:sz w:val="18"/>
                <w:szCs w:val="18"/>
              </w:rPr>
              <w:t xml:space="preserve">Oprogramowanie administracyjne 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 xml:space="preserve">powinno </w:t>
            </w:r>
            <w:r w:rsidRPr="001E25B4">
              <w:rPr>
                <w:rFonts w:ascii="Segoe UI" w:hAnsi="Segoe UI" w:cs="Segoe UI"/>
                <w:sz w:val="18"/>
                <w:szCs w:val="18"/>
              </w:rPr>
              <w:t>umożliwia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>ć</w:t>
            </w:r>
            <w:r w:rsidRPr="001E25B4">
              <w:rPr>
                <w:rFonts w:ascii="Segoe UI" w:hAnsi="Segoe UI" w:cs="Segoe UI"/>
                <w:sz w:val="18"/>
                <w:szCs w:val="18"/>
              </w:rPr>
              <w:t xml:space="preserve"> zarządzanie bazą danych pacjentów i zapisów. 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>Powinna istnieć możliwość</w:t>
            </w:r>
            <w:r w:rsidRPr="001E25B4">
              <w:rPr>
                <w:rFonts w:ascii="Segoe UI" w:hAnsi="Segoe UI" w:cs="Segoe UI"/>
                <w:sz w:val="18"/>
                <w:szCs w:val="18"/>
              </w:rPr>
              <w:t xml:space="preserve"> definiowani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>a</w:t>
            </w:r>
            <w:r w:rsidRPr="001E25B4">
              <w:rPr>
                <w:rFonts w:ascii="Segoe UI" w:hAnsi="Segoe UI" w:cs="Segoe UI"/>
                <w:sz w:val="18"/>
                <w:szCs w:val="18"/>
              </w:rPr>
              <w:t xml:space="preserve"> kryteriów wyszukiwania oraz archiwizacj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>i</w:t>
            </w:r>
            <w:r w:rsidRPr="001E25B4">
              <w:rPr>
                <w:rFonts w:ascii="Segoe UI" w:hAnsi="Segoe UI" w:cs="Segoe UI"/>
                <w:sz w:val="18"/>
                <w:szCs w:val="18"/>
              </w:rPr>
              <w:t xml:space="preserve"> na nośnikach zewnętrznych typu CDR, CDRW, DVDR, PENDRIVE, dysk USB, etc. Dodatkow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 xml:space="preserve">o powinno być możliwe </w:t>
            </w:r>
            <w:r w:rsidRPr="001E25B4">
              <w:rPr>
                <w:rFonts w:ascii="Segoe UI" w:hAnsi="Segoe UI" w:cs="Segoe UI"/>
                <w:sz w:val="18"/>
                <w:szCs w:val="18"/>
              </w:rPr>
              <w:t>łączenie zapisów pacjentów, ich przenoszenie</w:t>
            </w:r>
          </w:p>
          <w:p w14:paraId="59C4BAB1" w14:textId="4100F1F6" w:rsidR="002C22EE" w:rsidRPr="00907D2A" w:rsidRDefault="001E25B4" w:rsidP="00640936">
            <w:pPr>
              <w:pStyle w:val="Akapitzlist"/>
              <w:numPr>
                <w:ilvl w:val="0"/>
                <w:numId w:val="21"/>
              </w:numPr>
              <w:ind w:left="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Dodatkowo w zestawie: sterownik nożny pedał, </w:t>
            </w:r>
            <w:r w:rsidR="00D0589B">
              <w:rPr>
                <w:rFonts w:ascii="Segoe UI" w:hAnsi="Segoe UI" w:cs="Segoe UI"/>
                <w:sz w:val="18"/>
                <w:szCs w:val="18"/>
              </w:rPr>
              <w:t>platforma jezdna</w:t>
            </w:r>
          </w:p>
        </w:tc>
      </w:tr>
      <w:tr w:rsidR="009235D2" w:rsidRPr="006217A7" w14:paraId="285D807D" w14:textId="77777777" w:rsidTr="007D55A4">
        <w:trPr>
          <w:trHeight w:val="437"/>
        </w:trPr>
        <w:tc>
          <w:tcPr>
            <w:tcW w:w="738" w:type="dxa"/>
            <w:vAlign w:val="center"/>
          </w:tcPr>
          <w:p w14:paraId="08B4E08E" w14:textId="495D5441" w:rsidR="009235D2" w:rsidRPr="006217A7" w:rsidRDefault="00E720A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lang w:eastAsia="pl-PL"/>
              </w:rPr>
            </w:pPr>
            <w:r w:rsidRPr="006217A7">
              <w:rPr>
                <w:rFonts w:ascii="Segoe UI" w:hAnsi="Segoe UI" w:cs="Segoe UI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2449" w:type="dxa"/>
            <w:vAlign w:val="center"/>
          </w:tcPr>
          <w:p w14:paraId="1E1761E2" w14:textId="6E4F70D5" w:rsidR="009235D2" w:rsidRPr="006217A7" w:rsidRDefault="009235D2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>Szkolenie instruktażowe</w:t>
            </w:r>
          </w:p>
        </w:tc>
        <w:tc>
          <w:tcPr>
            <w:tcW w:w="7650" w:type="dxa"/>
            <w:vAlign w:val="center"/>
          </w:tcPr>
          <w:p w14:paraId="776174E8" w14:textId="24ED6C77" w:rsidR="009235D2" w:rsidRPr="006217A7" w:rsidRDefault="009235D2" w:rsidP="009235D2">
            <w:pPr>
              <w:pStyle w:val="Akapitzlist"/>
              <w:numPr>
                <w:ilvl w:val="0"/>
                <w:numId w:val="17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>Instruktaż w dniu dostawy</w:t>
            </w:r>
            <w:r w:rsidR="00D07ADB">
              <w:rPr>
                <w:rFonts w:ascii="Segoe UI" w:hAnsi="Segoe UI" w:cs="Segoe UI"/>
                <w:sz w:val="18"/>
                <w:szCs w:val="18"/>
              </w:rPr>
              <w:t xml:space="preserve">, a w razie niedokończenia szkolenia w dniu dostawy, w </w:t>
            </w:r>
            <w:r w:rsidR="009215FE">
              <w:rPr>
                <w:rFonts w:ascii="Segoe UI" w:hAnsi="Segoe UI" w:cs="Segoe UI"/>
                <w:sz w:val="18"/>
                <w:szCs w:val="18"/>
              </w:rPr>
              <w:t>kolejnym</w:t>
            </w:r>
            <w:r w:rsidR="00D07ADB">
              <w:rPr>
                <w:rFonts w:ascii="Segoe UI" w:hAnsi="Segoe UI" w:cs="Segoe UI"/>
                <w:sz w:val="18"/>
                <w:szCs w:val="18"/>
              </w:rPr>
              <w:t xml:space="preserve"> dniu roboczym</w:t>
            </w:r>
            <w:r w:rsidR="00506EF0">
              <w:rPr>
                <w:rFonts w:ascii="Segoe UI" w:hAnsi="Segoe UI" w:cs="Segoe UI"/>
                <w:sz w:val="18"/>
                <w:szCs w:val="18"/>
              </w:rPr>
              <w:t xml:space="preserve"> (wymóg konieczny do podpisania Protokołu odbioru)</w:t>
            </w:r>
            <w:r w:rsidR="00E720AA" w:rsidRPr="006217A7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0212DAB8" w14:textId="793D61B4" w:rsidR="009235D2" w:rsidRPr="006217A7" w:rsidRDefault="009235D2" w:rsidP="00506EF0">
            <w:pPr>
              <w:pStyle w:val="Akapitzlist"/>
              <w:numPr>
                <w:ilvl w:val="0"/>
                <w:numId w:val="17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1 dzień szkolenia aplikacyjnego </w:t>
            </w:r>
            <w:r w:rsidR="002C6EC5">
              <w:rPr>
                <w:rFonts w:ascii="Segoe UI" w:hAnsi="Segoe UI" w:cs="Segoe UI"/>
                <w:sz w:val="18"/>
                <w:szCs w:val="18"/>
              </w:rPr>
              <w:t xml:space="preserve">w języku angielskim </w:t>
            </w:r>
            <w:r w:rsidRPr="006217A7">
              <w:rPr>
                <w:rFonts w:ascii="Segoe UI" w:hAnsi="Segoe UI" w:cs="Segoe UI"/>
                <w:sz w:val="18"/>
                <w:szCs w:val="18"/>
              </w:rPr>
              <w:t>(do realizacji w ciągu 4 tygodni</w:t>
            </w:r>
            <w:r w:rsidR="001D2E52" w:rsidRPr="006217A7">
              <w:rPr>
                <w:rFonts w:ascii="Segoe UI" w:hAnsi="Segoe UI" w:cs="Segoe UI"/>
                <w:sz w:val="18"/>
                <w:szCs w:val="18"/>
              </w:rPr>
              <w:t xml:space="preserve"> – po podpisaniu Protokołu odbioru bez uwag</w:t>
            </w:r>
            <w:r w:rsidRPr="006217A7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6D0FB9" w:rsidRPr="006217A7" w14:paraId="58996992" w14:textId="77777777" w:rsidTr="007D55A4">
        <w:trPr>
          <w:trHeight w:val="429"/>
        </w:trPr>
        <w:tc>
          <w:tcPr>
            <w:tcW w:w="738" w:type="dxa"/>
            <w:vAlign w:val="center"/>
          </w:tcPr>
          <w:p w14:paraId="270DAC2E" w14:textId="4E22D980" w:rsidR="006D0FB9" w:rsidRPr="006217A7" w:rsidRDefault="00E720AA" w:rsidP="00E720AA">
            <w:pPr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3. </w:t>
            </w:r>
          </w:p>
        </w:tc>
        <w:tc>
          <w:tcPr>
            <w:tcW w:w="2449" w:type="dxa"/>
            <w:vAlign w:val="center"/>
          </w:tcPr>
          <w:p w14:paraId="52932352" w14:textId="5C0A9ABA" w:rsidR="006D0FB9" w:rsidRPr="00A22F6B" w:rsidRDefault="006D0FB9" w:rsidP="00CB1EF5">
            <w:pPr>
              <w:spacing w:before="0" w:after="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22F6B">
              <w:rPr>
                <w:rFonts w:ascii="Segoe UI" w:hAnsi="Segoe UI" w:cs="Segoe UI"/>
                <w:bCs/>
                <w:sz w:val="18"/>
                <w:szCs w:val="18"/>
              </w:rPr>
              <w:t>Instrukcje obsługi</w:t>
            </w:r>
            <w:r w:rsidR="00E720AA" w:rsidRPr="00A22F6B">
              <w:rPr>
                <w:rFonts w:ascii="Segoe UI" w:hAnsi="Segoe UI" w:cs="Segoe U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50" w:type="dxa"/>
            <w:vAlign w:val="center"/>
          </w:tcPr>
          <w:p w14:paraId="71BEECFC" w14:textId="63DE9E40" w:rsidR="006D0FB9" w:rsidRPr="006217A7" w:rsidRDefault="006D0FB9" w:rsidP="005B01CB">
            <w:pPr>
              <w:pStyle w:val="Akapitzlist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W j. angielskim lub polskim </w:t>
            </w:r>
            <w:r w:rsidR="00E720AA" w:rsidRPr="006217A7">
              <w:rPr>
                <w:rFonts w:ascii="Segoe UI" w:hAnsi="Segoe UI" w:cs="Segoe UI"/>
                <w:sz w:val="18"/>
                <w:szCs w:val="18"/>
              </w:rPr>
              <w:t xml:space="preserve">– </w:t>
            </w: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 wersja drukowana</w:t>
            </w:r>
            <w:r w:rsidR="00A22F6B">
              <w:rPr>
                <w:rFonts w:ascii="Segoe UI" w:hAnsi="Segoe UI" w:cs="Segoe UI"/>
                <w:sz w:val="18"/>
                <w:szCs w:val="18"/>
              </w:rPr>
              <w:t xml:space="preserve"> lub na nośniku elektronicznym</w:t>
            </w:r>
          </w:p>
        </w:tc>
      </w:tr>
    </w:tbl>
    <w:p w14:paraId="1073EA4C" w14:textId="77777777" w:rsidR="008F1F9D" w:rsidRPr="006217A7" w:rsidRDefault="008F1F9D" w:rsidP="008F1F9D">
      <w:pPr>
        <w:spacing w:before="240" w:after="240"/>
        <w:ind w:left="360"/>
        <w:rPr>
          <w:rFonts w:ascii="Segoe UI" w:hAnsi="Segoe UI" w:cs="Segoe UI"/>
          <w:b/>
          <w:sz w:val="18"/>
          <w:szCs w:val="18"/>
        </w:rPr>
      </w:pPr>
      <w:r w:rsidRPr="006217A7">
        <w:rPr>
          <w:rFonts w:ascii="Segoe UI" w:hAnsi="Segoe UI" w:cs="Segoe UI"/>
          <w:b/>
          <w:sz w:val="18"/>
          <w:szCs w:val="18"/>
        </w:rPr>
        <w:t>B.</w:t>
      </w:r>
      <w:r w:rsidRPr="006217A7">
        <w:rPr>
          <w:rFonts w:ascii="Segoe UI" w:hAnsi="Segoe UI" w:cs="Segoe UI"/>
          <w:b/>
          <w:sz w:val="18"/>
          <w:szCs w:val="18"/>
        </w:rPr>
        <w:tab/>
        <w:t>WARUNKI GWARANCJI I SERWISU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93"/>
      </w:tblGrid>
      <w:tr w:rsidR="006D0FB9" w:rsidRPr="006217A7" w14:paraId="4C7FC84D" w14:textId="77777777" w:rsidTr="006D0FB9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49F01A6F" w14:textId="77777777" w:rsidR="006D0FB9" w:rsidRPr="006217A7" w:rsidRDefault="006D0FB9" w:rsidP="00CB1EF5">
            <w:pPr>
              <w:spacing w:after="0" w:line="240" w:lineRule="auto"/>
              <w:ind w:left="113"/>
              <w:rPr>
                <w:rFonts w:ascii="Segoe UI" w:hAnsi="Segoe UI" w:cs="Segoe UI"/>
                <w:b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0093" w:type="dxa"/>
            <w:shd w:val="clear" w:color="auto" w:fill="E7E6E6"/>
            <w:vAlign w:val="center"/>
          </w:tcPr>
          <w:p w14:paraId="1B32F057" w14:textId="77777777" w:rsidR="006D0FB9" w:rsidRPr="006217A7" w:rsidRDefault="006D0FB9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b/>
                <w:sz w:val="18"/>
                <w:szCs w:val="18"/>
              </w:rPr>
              <w:t xml:space="preserve">Parametry wymagane przez Zamawiającego </w:t>
            </w:r>
          </w:p>
        </w:tc>
      </w:tr>
      <w:tr w:rsidR="006D0FB9" w:rsidRPr="006217A7" w14:paraId="1C6343A0" w14:textId="77777777" w:rsidTr="006D0FB9">
        <w:trPr>
          <w:trHeight w:val="209"/>
        </w:trPr>
        <w:tc>
          <w:tcPr>
            <w:tcW w:w="568" w:type="dxa"/>
          </w:tcPr>
          <w:p w14:paraId="5D340AB0" w14:textId="35786C9B" w:rsidR="006D0FB9" w:rsidRPr="006217A7" w:rsidRDefault="006D0FB9" w:rsidP="00CB1EF5">
            <w:pPr>
              <w:tabs>
                <w:tab w:val="left" w:pos="0"/>
              </w:tabs>
              <w:spacing w:before="0"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093" w:type="dxa"/>
          </w:tcPr>
          <w:p w14:paraId="2A6CA341" w14:textId="5D30FB5F" w:rsidR="00DD23AA" w:rsidRDefault="00DD23AA" w:rsidP="009235D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Czas dostawy:</w:t>
            </w:r>
            <w:r w:rsidR="00AD7339">
              <w:rPr>
                <w:rFonts w:ascii="Segoe UI" w:hAnsi="Segoe UI" w:cs="Segoe UI"/>
                <w:sz w:val="18"/>
                <w:szCs w:val="18"/>
              </w:rPr>
              <w:t xml:space="preserve"> zgodnie z ofertą Wykonawcy, nie dłużej niż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40936">
              <w:rPr>
                <w:rFonts w:ascii="Segoe UI" w:hAnsi="Segoe UI" w:cs="Segoe UI"/>
                <w:sz w:val="18"/>
                <w:szCs w:val="18"/>
              </w:rPr>
              <w:t>4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tygodni</w:t>
            </w:r>
            <w:r w:rsidR="00640936">
              <w:rPr>
                <w:rFonts w:ascii="Segoe UI" w:hAnsi="Segoe UI" w:cs="Segoe UI"/>
                <w:sz w:val="18"/>
                <w:szCs w:val="18"/>
              </w:rPr>
              <w:t>e</w:t>
            </w:r>
            <w:r w:rsidR="00AD7339">
              <w:rPr>
                <w:rFonts w:ascii="Segoe UI" w:hAnsi="Segoe UI" w:cs="Segoe UI"/>
                <w:sz w:val="18"/>
                <w:szCs w:val="18"/>
              </w:rPr>
              <w:t xml:space="preserve"> od momentu zawarcia Umowy.</w:t>
            </w:r>
          </w:p>
          <w:p w14:paraId="7D08E71A" w14:textId="1C166C0C" w:rsidR="009235D2" w:rsidRPr="006217A7" w:rsidRDefault="006D0FB9" w:rsidP="009235D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Bezpłatna gwarancja na urządzenie w okresie minimum 24 miesiące od daty podpisania protokołu odbioru bez </w:t>
            </w:r>
            <w:r w:rsidR="00AD7339">
              <w:rPr>
                <w:rFonts w:ascii="Segoe UI" w:hAnsi="Segoe UI" w:cs="Segoe UI"/>
                <w:sz w:val="18"/>
                <w:szCs w:val="18"/>
              </w:rPr>
              <w:t>uwag</w:t>
            </w:r>
            <w:r w:rsidRPr="006217A7">
              <w:rPr>
                <w:rFonts w:ascii="Segoe UI" w:hAnsi="Segoe UI" w:cs="Segoe UI"/>
                <w:sz w:val="18"/>
                <w:szCs w:val="18"/>
              </w:rPr>
              <w:t>.</w:t>
            </w:r>
            <w:r w:rsidR="00AD733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68F6208B" w14:textId="61151B9D" w:rsidR="009235D2" w:rsidRPr="006217A7" w:rsidRDefault="009235D2" w:rsidP="0034053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Czas reakcji na zgłoszenie awarii – </w:t>
            </w:r>
            <w:r w:rsidR="000F509B">
              <w:rPr>
                <w:rFonts w:ascii="Segoe UI" w:hAnsi="Segoe UI" w:cs="Segoe UI"/>
                <w:sz w:val="18"/>
                <w:szCs w:val="18"/>
              </w:rPr>
              <w:t>24</w:t>
            </w: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 h. </w:t>
            </w:r>
          </w:p>
          <w:p w14:paraId="7B08F644" w14:textId="31EF176C" w:rsidR="009235D2" w:rsidRPr="006217A7" w:rsidRDefault="009235D2" w:rsidP="0034053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Czas naprawy – </w:t>
            </w:r>
            <w:r w:rsidR="002C331C" w:rsidRPr="006217A7">
              <w:rPr>
                <w:rFonts w:ascii="Segoe UI" w:hAnsi="Segoe UI" w:cs="Segoe UI"/>
                <w:sz w:val="18"/>
                <w:szCs w:val="18"/>
              </w:rPr>
              <w:t>do 21</w:t>
            </w:r>
            <w:r w:rsidRPr="006217A7">
              <w:rPr>
                <w:rFonts w:ascii="Segoe UI" w:hAnsi="Segoe UI" w:cs="Segoe UI"/>
                <w:sz w:val="18"/>
                <w:szCs w:val="18"/>
              </w:rPr>
              <w:t xml:space="preserve"> dni </w:t>
            </w:r>
          </w:p>
          <w:p w14:paraId="308ADE2D" w14:textId="274F5098" w:rsidR="007E0471" w:rsidRPr="006217A7" w:rsidRDefault="007E0471" w:rsidP="009235D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217A7">
              <w:rPr>
                <w:rFonts w:ascii="Segoe UI" w:hAnsi="Segoe UI" w:cs="Segoe UI"/>
                <w:sz w:val="18"/>
                <w:szCs w:val="18"/>
              </w:rPr>
              <w:t>Gwarancja zgodna z postanowieniami Umowy, w szczególności załącznikiem nr 4 do Umowy.</w:t>
            </w:r>
          </w:p>
        </w:tc>
      </w:tr>
    </w:tbl>
    <w:p w14:paraId="32662464" w14:textId="77777777" w:rsidR="008F1F9D" w:rsidRPr="006217A7" w:rsidRDefault="008F1F9D" w:rsidP="00727DD9">
      <w:pPr>
        <w:pStyle w:val="Nagwek"/>
        <w:spacing w:before="240"/>
        <w:rPr>
          <w:rFonts w:ascii="Segoe UI" w:hAnsi="Segoe UI" w:cs="Segoe UI"/>
          <w:sz w:val="18"/>
          <w:szCs w:val="18"/>
        </w:rPr>
      </w:pPr>
    </w:p>
    <w:sectPr w:rsidR="008F1F9D" w:rsidRPr="006217A7" w:rsidSect="00B73754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46F1" w14:textId="77777777" w:rsidR="007E3631" w:rsidRDefault="007E3631">
      <w:pPr>
        <w:spacing w:before="0" w:after="0" w:line="240" w:lineRule="auto"/>
      </w:pPr>
      <w:r>
        <w:separator/>
      </w:r>
    </w:p>
  </w:endnote>
  <w:endnote w:type="continuationSeparator" w:id="0">
    <w:p w14:paraId="4DA9DE9E" w14:textId="77777777" w:rsidR="007E3631" w:rsidRDefault="007E36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6719"/>
      <w:docPartObj>
        <w:docPartGallery w:val="Page Numbers (Bottom of Page)"/>
        <w:docPartUnique/>
      </w:docPartObj>
    </w:sdtPr>
    <w:sdtEndPr/>
    <w:sdtContent>
      <w:p w14:paraId="6BB10689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177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4A617" w14:textId="77777777" w:rsidR="003B77CA" w:rsidRDefault="0031756F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9056" w14:textId="77777777" w:rsidR="007E3631" w:rsidRDefault="007E3631">
      <w:pPr>
        <w:spacing w:before="0" w:after="0" w:line="240" w:lineRule="auto"/>
      </w:pPr>
      <w:r>
        <w:separator/>
      </w:r>
    </w:p>
  </w:footnote>
  <w:footnote w:type="continuationSeparator" w:id="0">
    <w:p w14:paraId="1AEB0218" w14:textId="77777777" w:rsidR="007E3631" w:rsidRDefault="007E36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897"/>
    <w:multiLevelType w:val="hybridMultilevel"/>
    <w:tmpl w:val="E0722B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A26"/>
    <w:multiLevelType w:val="hybridMultilevel"/>
    <w:tmpl w:val="FE8CD0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03F5"/>
    <w:multiLevelType w:val="hybridMultilevel"/>
    <w:tmpl w:val="396C6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520B"/>
    <w:multiLevelType w:val="hybridMultilevel"/>
    <w:tmpl w:val="A202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04F7"/>
    <w:multiLevelType w:val="hybridMultilevel"/>
    <w:tmpl w:val="555C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371D4"/>
    <w:multiLevelType w:val="hybridMultilevel"/>
    <w:tmpl w:val="4E9C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0A11"/>
    <w:multiLevelType w:val="hybridMultilevel"/>
    <w:tmpl w:val="555C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D75F3"/>
    <w:multiLevelType w:val="hybridMultilevel"/>
    <w:tmpl w:val="7A7C75C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6"/>
  </w:num>
  <w:num w:numId="12">
    <w:abstractNumId w:val="17"/>
  </w:num>
  <w:num w:numId="13">
    <w:abstractNumId w:val="13"/>
  </w:num>
  <w:num w:numId="14">
    <w:abstractNumId w:val="2"/>
  </w:num>
  <w:num w:numId="15">
    <w:abstractNumId w:val="0"/>
  </w:num>
  <w:num w:numId="16">
    <w:abstractNumId w:val="20"/>
  </w:num>
  <w:num w:numId="17">
    <w:abstractNumId w:val="5"/>
  </w:num>
  <w:num w:numId="18">
    <w:abstractNumId w:val="10"/>
  </w:num>
  <w:num w:numId="19">
    <w:abstractNumId w:val="7"/>
  </w:num>
  <w:num w:numId="20">
    <w:abstractNumId w:val="8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43"/>
    <w:rsid w:val="00000909"/>
    <w:rsid w:val="00022666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317D"/>
    <w:rsid w:val="000C61D4"/>
    <w:rsid w:val="000D014F"/>
    <w:rsid w:val="000D0D74"/>
    <w:rsid w:val="000D46AA"/>
    <w:rsid w:val="000D7B45"/>
    <w:rsid w:val="000E1596"/>
    <w:rsid w:val="000E2328"/>
    <w:rsid w:val="000F4A1A"/>
    <w:rsid w:val="000F509B"/>
    <w:rsid w:val="000F77DF"/>
    <w:rsid w:val="000F7FCF"/>
    <w:rsid w:val="00101418"/>
    <w:rsid w:val="00103809"/>
    <w:rsid w:val="001043B8"/>
    <w:rsid w:val="001113ED"/>
    <w:rsid w:val="001121E8"/>
    <w:rsid w:val="00112942"/>
    <w:rsid w:val="00114762"/>
    <w:rsid w:val="00116BF7"/>
    <w:rsid w:val="0012281F"/>
    <w:rsid w:val="001318AA"/>
    <w:rsid w:val="00146C39"/>
    <w:rsid w:val="00147660"/>
    <w:rsid w:val="00164233"/>
    <w:rsid w:val="00172A3C"/>
    <w:rsid w:val="0017364E"/>
    <w:rsid w:val="001775EB"/>
    <w:rsid w:val="00182F54"/>
    <w:rsid w:val="00183126"/>
    <w:rsid w:val="001873FB"/>
    <w:rsid w:val="00193AD5"/>
    <w:rsid w:val="0019430E"/>
    <w:rsid w:val="00195EF1"/>
    <w:rsid w:val="001B2F27"/>
    <w:rsid w:val="001D290B"/>
    <w:rsid w:val="001D2E52"/>
    <w:rsid w:val="001E1888"/>
    <w:rsid w:val="001E2158"/>
    <w:rsid w:val="001E25B4"/>
    <w:rsid w:val="001F19C9"/>
    <w:rsid w:val="001F7926"/>
    <w:rsid w:val="0020547D"/>
    <w:rsid w:val="00206BFD"/>
    <w:rsid w:val="00214C9B"/>
    <w:rsid w:val="00221917"/>
    <w:rsid w:val="00236370"/>
    <w:rsid w:val="00236F46"/>
    <w:rsid w:val="00237952"/>
    <w:rsid w:val="00237CBB"/>
    <w:rsid w:val="00242D2B"/>
    <w:rsid w:val="002452A8"/>
    <w:rsid w:val="00257C27"/>
    <w:rsid w:val="00272348"/>
    <w:rsid w:val="00284582"/>
    <w:rsid w:val="0028516F"/>
    <w:rsid w:val="00285E48"/>
    <w:rsid w:val="002A1C67"/>
    <w:rsid w:val="002A5394"/>
    <w:rsid w:val="002B552D"/>
    <w:rsid w:val="002C22EE"/>
    <w:rsid w:val="002C331C"/>
    <w:rsid w:val="002C4503"/>
    <w:rsid w:val="002C5D24"/>
    <w:rsid w:val="002C6EC5"/>
    <w:rsid w:val="002D322F"/>
    <w:rsid w:val="002D72E4"/>
    <w:rsid w:val="002E1F7C"/>
    <w:rsid w:val="002E21A1"/>
    <w:rsid w:val="002F2566"/>
    <w:rsid w:val="002F452B"/>
    <w:rsid w:val="00311333"/>
    <w:rsid w:val="00316F18"/>
    <w:rsid w:val="0031756F"/>
    <w:rsid w:val="00317CF6"/>
    <w:rsid w:val="00331066"/>
    <w:rsid w:val="00335A2D"/>
    <w:rsid w:val="00341480"/>
    <w:rsid w:val="00364BEF"/>
    <w:rsid w:val="003669E5"/>
    <w:rsid w:val="003727AD"/>
    <w:rsid w:val="00383186"/>
    <w:rsid w:val="003A509D"/>
    <w:rsid w:val="003A660E"/>
    <w:rsid w:val="003B2C4B"/>
    <w:rsid w:val="003B51A3"/>
    <w:rsid w:val="003C4CF8"/>
    <w:rsid w:val="003D6CF0"/>
    <w:rsid w:val="003E2B72"/>
    <w:rsid w:val="003E4655"/>
    <w:rsid w:val="003E631A"/>
    <w:rsid w:val="003E715C"/>
    <w:rsid w:val="003F6176"/>
    <w:rsid w:val="004044C3"/>
    <w:rsid w:val="00407AB2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76D27"/>
    <w:rsid w:val="00482B36"/>
    <w:rsid w:val="004852EF"/>
    <w:rsid w:val="004918C9"/>
    <w:rsid w:val="00492F53"/>
    <w:rsid w:val="00494600"/>
    <w:rsid w:val="004A562F"/>
    <w:rsid w:val="004B04CA"/>
    <w:rsid w:val="004D0840"/>
    <w:rsid w:val="004F2EE6"/>
    <w:rsid w:val="004F671B"/>
    <w:rsid w:val="00506EF0"/>
    <w:rsid w:val="0053082B"/>
    <w:rsid w:val="00540BAA"/>
    <w:rsid w:val="00557190"/>
    <w:rsid w:val="00557606"/>
    <w:rsid w:val="00565011"/>
    <w:rsid w:val="00565CA9"/>
    <w:rsid w:val="0057034D"/>
    <w:rsid w:val="00574FE4"/>
    <w:rsid w:val="00591C58"/>
    <w:rsid w:val="005A0CEE"/>
    <w:rsid w:val="005A0EB9"/>
    <w:rsid w:val="005A4225"/>
    <w:rsid w:val="005B01CB"/>
    <w:rsid w:val="005B2DF3"/>
    <w:rsid w:val="005B46DE"/>
    <w:rsid w:val="005C2085"/>
    <w:rsid w:val="005C44D9"/>
    <w:rsid w:val="005D0F0F"/>
    <w:rsid w:val="005E2A55"/>
    <w:rsid w:val="005E4AA8"/>
    <w:rsid w:val="005F537E"/>
    <w:rsid w:val="005F771A"/>
    <w:rsid w:val="006076DA"/>
    <w:rsid w:val="00620340"/>
    <w:rsid w:val="006217A7"/>
    <w:rsid w:val="006241F3"/>
    <w:rsid w:val="00640936"/>
    <w:rsid w:val="00641AE3"/>
    <w:rsid w:val="00642E24"/>
    <w:rsid w:val="00643B23"/>
    <w:rsid w:val="0065006C"/>
    <w:rsid w:val="00664D2B"/>
    <w:rsid w:val="0066539D"/>
    <w:rsid w:val="006749E6"/>
    <w:rsid w:val="00683E9A"/>
    <w:rsid w:val="006870D3"/>
    <w:rsid w:val="00692071"/>
    <w:rsid w:val="00694289"/>
    <w:rsid w:val="006A04E2"/>
    <w:rsid w:val="006A49C3"/>
    <w:rsid w:val="006A4F67"/>
    <w:rsid w:val="006C1C83"/>
    <w:rsid w:val="006D0FB9"/>
    <w:rsid w:val="006D550C"/>
    <w:rsid w:val="006E0BD1"/>
    <w:rsid w:val="006E5D15"/>
    <w:rsid w:val="00705D9A"/>
    <w:rsid w:val="0071052B"/>
    <w:rsid w:val="007171A0"/>
    <w:rsid w:val="00717D46"/>
    <w:rsid w:val="00727537"/>
    <w:rsid w:val="00727DD9"/>
    <w:rsid w:val="00736DEE"/>
    <w:rsid w:val="007441AB"/>
    <w:rsid w:val="00756F7B"/>
    <w:rsid w:val="0076004D"/>
    <w:rsid w:val="007636A5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D55A4"/>
    <w:rsid w:val="007E0471"/>
    <w:rsid w:val="007E1B6A"/>
    <w:rsid w:val="007E2005"/>
    <w:rsid w:val="007E3631"/>
    <w:rsid w:val="007E6150"/>
    <w:rsid w:val="007F53B4"/>
    <w:rsid w:val="007F6498"/>
    <w:rsid w:val="007F7897"/>
    <w:rsid w:val="00801626"/>
    <w:rsid w:val="00806C8F"/>
    <w:rsid w:val="00811E6C"/>
    <w:rsid w:val="00815A7C"/>
    <w:rsid w:val="00816364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37C20"/>
    <w:rsid w:val="00847F6C"/>
    <w:rsid w:val="008550AE"/>
    <w:rsid w:val="0085537A"/>
    <w:rsid w:val="00862DA4"/>
    <w:rsid w:val="00874CBA"/>
    <w:rsid w:val="008853B0"/>
    <w:rsid w:val="0089485B"/>
    <w:rsid w:val="00894C11"/>
    <w:rsid w:val="0089563B"/>
    <w:rsid w:val="008A3058"/>
    <w:rsid w:val="008C54E3"/>
    <w:rsid w:val="008D6A9D"/>
    <w:rsid w:val="008E19EC"/>
    <w:rsid w:val="008F1F9D"/>
    <w:rsid w:val="008F53EF"/>
    <w:rsid w:val="009045CD"/>
    <w:rsid w:val="00905C09"/>
    <w:rsid w:val="00907D2A"/>
    <w:rsid w:val="00913756"/>
    <w:rsid w:val="009215FE"/>
    <w:rsid w:val="009232BB"/>
    <w:rsid w:val="009235D2"/>
    <w:rsid w:val="009330C6"/>
    <w:rsid w:val="00942CB9"/>
    <w:rsid w:val="009434CF"/>
    <w:rsid w:val="00955487"/>
    <w:rsid w:val="0096088E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124B"/>
    <w:rsid w:val="009E3F84"/>
    <w:rsid w:val="009F1E16"/>
    <w:rsid w:val="009F32F0"/>
    <w:rsid w:val="009F48D4"/>
    <w:rsid w:val="00A00799"/>
    <w:rsid w:val="00A04E17"/>
    <w:rsid w:val="00A0657E"/>
    <w:rsid w:val="00A10CBE"/>
    <w:rsid w:val="00A1311A"/>
    <w:rsid w:val="00A1426E"/>
    <w:rsid w:val="00A17B74"/>
    <w:rsid w:val="00A211FF"/>
    <w:rsid w:val="00A22C56"/>
    <w:rsid w:val="00A22F6B"/>
    <w:rsid w:val="00A313A3"/>
    <w:rsid w:val="00A33C37"/>
    <w:rsid w:val="00A445E8"/>
    <w:rsid w:val="00A45D37"/>
    <w:rsid w:val="00A464F5"/>
    <w:rsid w:val="00A47384"/>
    <w:rsid w:val="00A53F53"/>
    <w:rsid w:val="00A5453E"/>
    <w:rsid w:val="00A61108"/>
    <w:rsid w:val="00A85799"/>
    <w:rsid w:val="00A928D7"/>
    <w:rsid w:val="00AB656D"/>
    <w:rsid w:val="00AC0343"/>
    <w:rsid w:val="00AC2079"/>
    <w:rsid w:val="00AD418A"/>
    <w:rsid w:val="00AD7339"/>
    <w:rsid w:val="00AF08E6"/>
    <w:rsid w:val="00AF75FD"/>
    <w:rsid w:val="00B03660"/>
    <w:rsid w:val="00B04A93"/>
    <w:rsid w:val="00B04BBB"/>
    <w:rsid w:val="00B10520"/>
    <w:rsid w:val="00B124CD"/>
    <w:rsid w:val="00B262EE"/>
    <w:rsid w:val="00B31D14"/>
    <w:rsid w:val="00B32C7E"/>
    <w:rsid w:val="00B348DA"/>
    <w:rsid w:val="00B4297E"/>
    <w:rsid w:val="00B55166"/>
    <w:rsid w:val="00B56FB4"/>
    <w:rsid w:val="00B5716E"/>
    <w:rsid w:val="00B57D47"/>
    <w:rsid w:val="00B65AC3"/>
    <w:rsid w:val="00B71765"/>
    <w:rsid w:val="00B73754"/>
    <w:rsid w:val="00B7594D"/>
    <w:rsid w:val="00B83BEA"/>
    <w:rsid w:val="00B863BC"/>
    <w:rsid w:val="00B926B8"/>
    <w:rsid w:val="00BA1F0D"/>
    <w:rsid w:val="00BA765F"/>
    <w:rsid w:val="00BB0C5D"/>
    <w:rsid w:val="00BC172E"/>
    <w:rsid w:val="00BC516F"/>
    <w:rsid w:val="00BD60DA"/>
    <w:rsid w:val="00C01C4B"/>
    <w:rsid w:val="00C02708"/>
    <w:rsid w:val="00C074C4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53C29"/>
    <w:rsid w:val="00C645B8"/>
    <w:rsid w:val="00C9079F"/>
    <w:rsid w:val="00C936F6"/>
    <w:rsid w:val="00CA56AE"/>
    <w:rsid w:val="00CA6916"/>
    <w:rsid w:val="00CB2A34"/>
    <w:rsid w:val="00CC04D7"/>
    <w:rsid w:val="00CC11C8"/>
    <w:rsid w:val="00CC482D"/>
    <w:rsid w:val="00CC51EA"/>
    <w:rsid w:val="00CC52E7"/>
    <w:rsid w:val="00CC6F28"/>
    <w:rsid w:val="00CD1F33"/>
    <w:rsid w:val="00CD46DF"/>
    <w:rsid w:val="00D023FA"/>
    <w:rsid w:val="00D0589B"/>
    <w:rsid w:val="00D067D7"/>
    <w:rsid w:val="00D07ADB"/>
    <w:rsid w:val="00D1207A"/>
    <w:rsid w:val="00D15D63"/>
    <w:rsid w:val="00D22DDF"/>
    <w:rsid w:val="00D2452E"/>
    <w:rsid w:val="00D26A93"/>
    <w:rsid w:val="00D271EE"/>
    <w:rsid w:val="00D3534F"/>
    <w:rsid w:val="00D474DB"/>
    <w:rsid w:val="00D56E6F"/>
    <w:rsid w:val="00D60334"/>
    <w:rsid w:val="00D62C34"/>
    <w:rsid w:val="00D76B03"/>
    <w:rsid w:val="00D778AB"/>
    <w:rsid w:val="00D84CA4"/>
    <w:rsid w:val="00D879AF"/>
    <w:rsid w:val="00DB3CB8"/>
    <w:rsid w:val="00DB7325"/>
    <w:rsid w:val="00DC583A"/>
    <w:rsid w:val="00DD23AA"/>
    <w:rsid w:val="00DD791F"/>
    <w:rsid w:val="00DE06F1"/>
    <w:rsid w:val="00DE40E3"/>
    <w:rsid w:val="00DE6E97"/>
    <w:rsid w:val="00DF4BC5"/>
    <w:rsid w:val="00DF57BF"/>
    <w:rsid w:val="00E03E25"/>
    <w:rsid w:val="00E1138F"/>
    <w:rsid w:val="00E23B13"/>
    <w:rsid w:val="00E25217"/>
    <w:rsid w:val="00E268AC"/>
    <w:rsid w:val="00E30479"/>
    <w:rsid w:val="00E33855"/>
    <w:rsid w:val="00E53742"/>
    <w:rsid w:val="00E54FE2"/>
    <w:rsid w:val="00E65BD7"/>
    <w:rsid w:val="00E720AA"/>
    <w:rsid w:val="00E7373B"/>
    <w:rsid w:val="00E8171C"/>
    <w:rsid w:val="00E86B15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0775F"/>
    <w:rsid w:val="00F17F6E"/>
    <w:rsid w:val="00F22682"/>
    <w:rsid w:val="00F23A4C"/>
    <w:rsid w:val="00F25E6B"/>
    <w:rsid w:val="00F344A3"/>
    <w:rsid w:val="00F35D76"/>
    <w:rsid w:val="00F36221"/>
    <w:rsid w:val="00F54C4C"/>
    <w:rsid w:val="00F55D3A"/>
    <w:rsid w:val="00F6151B"/>
    <w:rsid w:val="00F6249C"/>
    <w:rsid w:val="00F6328A"/>
    <w:rsid w:val="00F83938"/>
    <w:rsid w:val="00FA2EE7"/>
    <w:rsid w:val="00FA5959"/>
    <w:rsid w:val="00FB23E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74024"/>
  <w15:docId w15:val="{D8BC084A-4E8A-4E64-B744-AF3AB4D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610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023E-1934-409D-B1BE-2CBACC61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Aleksandra Orzechowska | Łukasiewicz - PORT Polski Ośrodek Rozwoju Technologii</cp:lastModifiedBy>
  <cp:revision>11</cp:revision>
  <cp:lastPrinted>2018-10-09T13:34:00Z</cp:lastPrinted>
  <dcterms:created xsi:type="dcterms:W3CDTF">2021-02-12T10:21:00Z</dcterms:created>
  <dcterms:modified xsi:type="dcterms:W3CDTF">2021-06-08T12:08:00Z</dcterms:modified>
</cp:coreProperties>
</file>