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BF37" w14:textId="77777777" w:rsidR="002D0859" w:rsidRDefault="002D0859" w:rsidP="002D0859">
      <w:pPr>
        <w:ind w:left="2464" w:right="-567" w:hanging="2464"/>
        <w:contextualSpacing/>
        <w:jc w:val="both"/>
        <w:rPr>
          <w:sz w:val="28"/>
          <w:szCs w:val="28"/>
        </w:rPr>
      </w:pPr>
    </w:p>
    <w:p w14:paraId="49CAD132" w14:textId="77777777" w:rsidR="00F8009C" w:rsidRDefault="00F8009C" w:rsidP="00407BB3">
      <w:pPr>
        <w:ind w:left="1134"/>
        <w:jc w:val="center"/>
        <w:rPr>
          <w:rFonts w:ascii="Verdana" w:hAnsi="Verdana"/>
          <w:b/>
        </w:rPr>
      </w:pPr>
    </w:p>
    <w:p w14:paraId="10629C2E" w14:textId="77777777" w:rsidR="00F8009C" w:rsidRDefault="00F8009C" w:rsidP="00407BB3">
      <w:pPr>
        <w:ind w:left="1134"/>
        <w:jc w:val="center"/>
        <w:rPr>
          <w:rFonts w:ascii="Verdana" w:hAnsi="Verdana"/>
          <w:b/>
        </w:rPr>
      </w:pPr>
    </w:p>
    <w:p w14:paraId="11BDD532" w14:textId="4B961A04" w:rsidR="008E33F6" w:rsidRPr="008E33F6" w:rsidRDefault="008E33F6" w:rsidP="008E33F6">
      <w:pPr>
        <w:ind w:left="1134"/>
        <w:jc w:val="right"/>
        <w:rPr>
          <w:rFonts w:ascii="Verdana" w:hAnsi="Verdana"/>
          <w:bCs/>
        </w:rPr>
      </w:pPr>
      <w:r w:rsidRPr="008E33F6">
        <w:rPr>
          <w:rFonts w:ascii="Verdana" w:hAnsi="Verdana"/>
          <w:bCs/>
        </w:rPr>
        <w:t>Załącznik 1 do zapytania ofertowego</w:t>
      </w:r>
    </w:p>
    <w:p w14:paraId="5C62C595" w14:textId="01DCE159" w:rsidR="0072615E" w:rsidRPr="00F028E2" w:rsidRDefault="00974D96" w:rsidP="00407BB3">
      <w:pPr>
        <w:ind w:left="1134"/>
        <w:jc w:val="center"/>
        <w:rPr>
          <w:rFonts w:ascii="Verdana" w:hAnsi="Verdana"/>
          <w:b/>
        </w:rPr>
      </w:pPr>
      <w:r w:rsidRPr="00F028E2">
        <w:rPr>
          <w:rFonts w:ascii="Verdana" w:hAnsi="Verdana"/>
          <w:b/>
        </w:rPr>
        <w:t>OPIS PRZEDMIOTU ZAMÓWIENIA</w:t>
      </w:r>
    </w:p>
    <w:p w14:paraId="506FC045" w14:textId="77777777" w:rsidR="00407BB3" w:rsidRPr="00F028E2" w:rsidRDefault="00407BB3" w:rsidP="004D685D">
      <w:pPr>
        <w:spacing w:line="360" w:lineRule="auto"/>
        <w:jc w:val="both"/>
        <w:rPr>
          <w:rFonts w:ascii="Verdana" w:hAnsi="Verdana"/>
          <w:b/>
        </w:rPr>
      </w:pPr>
    </w:p>
    <w:p w14:paraId="23F1F03C" w14:textId="276E9CA6" w:rsidR="005B7BD3" w:rsidRPr="004D685D" w:rsidRDefault="005B7BD3" w:rsidP="004D68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 w:rsidRPr="004D685D">
        <w:rPr>
          <w:rFonts w:ascii="Verdana" w:hAnsi="Verdana"/>
          <w:b/>
          <w:bCs/>
        </w:rPr>
        <w:t>Miejsce wykonania prac</w:t>
      </w:r>
    </w:p>
    <w:p w14:paraId="139A01B8" w14:textId="77777777" w:rsidR="00B030F0" w:rsidRDefault="00B030F0" w:rsidP="004D685D">
      <w:pPr>
        <w:pStyle w:val="Akapitzlist"/>
        <w:spacing w:line="360" w:lineRule="auto"/>
        <w:jc w:val="both"/>
        <w:rPr>
          <w:rFonts w:ascii="Verdana" w:hAnsi="Verdana"/>
        </w:rPr>
      </w:pPr>
    </w:p>
    <w:p w14:paraId="1640B41B" w14:textId="3495AB90" w:rsidR="00B030F0" w:rsidRDefault="00B030F0" w:rsidP="00761243">
      <w:pPr>
        <w:pStyle w:val="Akapitzlist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Sieć Badawcza Łukasiewicz – Polski Ośrodek Rozwoju Technologii PORT, ul.</w:t>
      </w:r>
      <w:r w:rsidR="00761243"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Stabłowicka</w:t>
      </w:r>
      <w:proofErr w:type="spellEnd"/>
      <w:r>
        <w:rPr>
          <w:rFonts w:ascii="Verdana" w:hAnsi="Verdana"/>
        </w:rPr>
        <w:t xml:space="preserve"> 14</w:t>
      </w:r>
      <w:r w:rsidR="00F8009C">
        <w:rPr>
          <w:rFonts w:ascii="Verdana" w:hAnsi="Verdana"/>
        </w:rPr>
        <w:t>9</w:t>
      </w:r>
      <w:r>
        <w:rPr>
          <w:rFonts w:ascii="Verdana" w:hAnsi="Verdana"/>
        </w:rPr>
        <w:t xml:space="preserve">, 54-066 Wrocław, budynek nr </w:t>
      </w:r>
      <w:r w:rsidR="00005F9C">
        <w:rPr>
          <w:rFonts w:ascii="Verdana" w:hAnsi="Verdana"/>
        </w:rPr>
        <w:t>1ABC</w:t>
      </w:r>
      <w:r w:rsidR="00F8009C">
        <w:rPr>
          <w:rFonts w:ascii="Verdana" w:hAnsi="Verdana"/>
        </w:rPr>
        <w:t xml:space="preserve"> </w:t>
      </w:r>
      <w:r w:rsidR="00F8009C" w:rsidRPr="00F8009C">
        <w:rPr>
          <w:rFonts w:ascii="Verdana" w:hAnsi="Verdana"/>
        </w:rPr>
        <w:t>położon</w:t>
      </w:r>
      <w:r w:rsidR="00F8009C">
        <w:rPr>
          <w:rFonts w:ascii="Verdana" w:hAnsi="Verdana"/>
        </w:rPr>
        <w:t>y</w:t>
      </w:r>
      <w:r w:rsidR="00F8009C" w:rsidRPr="00F8009C">
        <w:rPr>
          <w:rFonts w:ascii="Verdana" w:hAnsi="Verdana"/>
        </w:rPr>
        <w:t xml:space="preserve"> na działce nr 1/</w:t>
      </w:r>
      <w:r w:rsidR="009F181F">
        <w:rPr>
          <w:rFonts w:ascii="Verdana" w:hAnsi="Verdana"/>
        </w:rPr>
        <w:t>10</w:t>
      </w:r>
      <w:r w:rsidR="00F8009C" w:rsidRPr="00F8009C">
        <w:rPr>
          <w:rFonts w:ascii="Verdana" w:hAnsi="Verdana"/>
        </w:rPr>
        <w:t>, AM 30, Obręb Pracze Odrzańskie</w:t>
      </w:r>
      <w:r>
        <w:rPr>
          <w:rFonts w:ascii="Verdana" w:hAnsi="Verdana"/>
        </w:rPr>
        <w:t>.</w:t>
      </w:r>
    </w:p>
    <w:p w14:paraId="4B4A357E" w14:textId="77777777" w:rsidR="00D80188" w:rsidRDefault="00D80188" w:rsidP="004D685D">
      <w:pPr>
        <w:pStyle w:val="Akapitzlist"/>
        <w:spacing w:line="360" w:lineRule="auto"/>
        <w:jc w:val="both"/>
        <w:rPr>
          <w:rFonts w:ascii="Verdana" w:hAnsi="Verdana"/>
        </w:rPr>
      </w:pPr>
    </w:p>
    <w:p w14:paraId="78F2F9C3" w14:textId="2D5816C7" w:rsidR="00974D96" w:rsidRPr="004D685D" w:rsidRDefault="00974D96" w:rsidP="004D68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 w:rsidRPr="004D685D">
        <w:rPr>
          <w:rFonts w:ascii="Verdana" w:hAnsi="Verdana"/>
          <w:b/>
          <w:bCs/>
        </w:rPr>
        <w:t>Opis zadania</w:t>
      </w:r>
    </w:p>
    <w:p w14:paraId="728CE3BA" w14:textId="6BB80559" w:rsidR="00005F9C" w:rsidRDefault="00005F9C" w:rsidP="00761243">
      <w:pPr>
        <w:pStyle w:val="Akapitzlist"/>
        <w:spacing w:line="360" w:lineRule="auto"/>
        <w:jc w:val="both"/>
        <w:rPr>
          <w:rFonts w:ascii="Verdana" w:hAnsi="Verdana"/>
        </w:rPr>
      </w:pPr>
      <w:r w:rsidRPr="00005F9C">
        <w:rPr>
          <w:rFonts w:ascii="Verdana" w:hAnsi="Verdana"/>
        </w:rPr>
        <w:t>Osuszenie metodą iniekcji krystalicznej (lub inną skuteczną na murze z</w:t>
      </w:r>
      <w:r w:rsidR="00C223E1">
        <w:rPr>
          <w:rFonts w:ascii="Verdana" w:hAnsi="Verdana"/>
        </w:rPr>
        <w:t> </w:t>
      </w:r>
      <w:r w:rsidRPr="00005F9C">
        <w:rPr>
          <w:rFonts w:ascii="Verdana" w:hAnsi="Verdana"/>
        </w:rPr>
        <w:t>cegły) budynków 1A i 1BC należących do Sieci Badawczej Łukasiewicz – PORT Polskiego Ośrodka Rozwoju Technologii, ul. </w:t>
      </w:r>
      <w:proofErr w:type="spellStart"/>
      <w:r w:rsidRPr="00005F9C">
        <w:rPr>
          <w:rFonts w:ascii="Verdana" w:hAnsi="Verdana"/>
        </w:rPr>
        <w:t>Stabłowicka</w:t>
      </w:r>
      <w:proofErr w:type="spellEnd"/>
      <w:r w:rsidRPr="00005F9C">
        <w:rPr>
          <w:rFonts w:ascii="Verdana" w:hAnsi="Verdana"/>
        </w:rPr>
        <w:t xml:space="preserve"> 147</w:t>
      </w:r>
      <w:r w:rsidR="00761243">
        <w:rPr>
          <w:rFonts w:ascii="Verdana" w:hAnsi="Verdana"/>
        </w:rPr>
        <w:t>.</w:t>
      </w:r>
    </w:p>
    <w:p w14:paraId="7BDBC118" w14:textId="77777777" w:rsidR="005109CC" w:rsidRPr="00F028E2" w:rsidRDefault="005109CC" w:rsidP="00761243">
      <w:pPr>
        <w:pStyle w:val="Akapitzlist"/>
        <w:spacing w:line="360" w:lineRule="auto"/>
        <w:jc w:val="both"/>
        <w:rPr>
          <w:rFonts w:ascii="Verdana" w:hAnsi="Verdana"/>
        </w:rPr>
      </w:pPr>
    </w:p>
    <w:p w14:paraId="185B2FE9" w14:textId="70C0BE79" w:rsidR="00974D96" w:rsidRPr="004D685D" w:rsidRDefault="00A15611" w:rsidP="004D68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 w:rsidRPr="004D685D">
        <w:rPr>
          <w:rFonts w:ascii="Verdana" w:hAnsi="Verdana"/>
          <w:b/>
          <w:bCs/>
        </w:rPr>
        <w:t>Z</w:t>
      </w:r>
      <w:r w:rsidR="00EF4813" w:rsidRPr="004D685D">
        <w:rPr>
          <w:rFonts w:ascii="Verdana" w:hAnsi="Verdana"/>
          <w:b/>
          <w:bCs/>
        </w:rPr>
        <w:t>akres prac</w:t>
      </w:r>
    </w:p>
    <w:p w14:paraId="3F12B2F3" w14:textId="3DF250E5" w:rsidR="00761243" w:rsidRPr="00761243" w:rsidRDefault="00761243" w:rsidP="00761243">
      <w:pPr>
        <w:spacing w:after="0" w:line="360" w:lineRule="auto"/>
        <w:ind w:left="708"/>
        <w:jc w:val="both"/>
        <w:rPr>
          <w:rFonts w:ascii="Verdana" w:eastAsia="Calibri" w:hAnsi="Verdana" w:cs="Tahoma"/>
          <w:bCs/>
        </w:rPr>
      </w:pPr>
      <w:bookmarkStart w:id="0" w:name="_Hlk72744135"/>
      <w:r>
        <w:rPr>
          <w:rFonts w:ascii="Verdana" w:eastAsia="Calibri" w:hAnsi="Verdana" w:cs="Tahoma"/>
          <w:bCs/>
        </w:rPr>
        <w:t>Z</w:t>
      </w:r>
      <w:r w:rsidRPr="00761243">
        <w:rPr>
          <w:rFonts w:ascii="Verdana" w:eastAsia="Calibri" w:hAnsi="Verdana" w:cs="Tahoma"/>
          <w:bCs/>
        </w:rPr>
        <w:t>akres</w:t>
      </w:r>
      <w:r>
        <w:rPr>
          <w:rFonts w:ascii="Verdana" w:eastAsia="Calibri" w:hAnsi="Verdana" w:cs="Tahoma"/>
          <w:bCs/>
        </w:rPr>
        <w:t xml:space="preserve"> prac</w:t>
      </w:r>
      <w:r w:rsidRPr="00761243">
        <w:rPr>
          <w:rFonts w:ascii="Verdana" w:eastAsia="Calibri" w:hAnsi="Verdana" w:cs="Tahoma"/>
          <w:bCs/>
        </w:rPr>
        <w:t xml:space="preserve"> przedstawion</w:t>
      </w:r>
      <w:r>
        <w:rPr>
          <w:rFonts w:ascii="Verdana" w:eastAsia="Calibri" w:hAnsi="Verdana" w:cs="Tahoma"/>
          <w:bCs/>
        </w:rPr>
        <w:t>o</w:t>
      </w:r>
      <w:r w:rsidRPr="00761243">
        <w:rPr>
          <w:rFonts w:ascii="Verdana" w:eastAsia="Calibri" w:hAnsi="Verdana" w:cs="Tahoma"/>
          <w:bCs/>
        </w:rPr>
        <w:t xml:space="preserve"> w załącznikach</w:t>
      </w:r>
      <w:r>
        <w:rPr>
          <w:rFonts w:ascii="Verdana" w:eastAsia="Calibri" w:hAnsi="Verdana" w:cs="Tahoma"/>
          <w:bCs/>
        </w:rPr>
        <w:t xml:space="preserve"> nr 1-3</w:t>
      </w:r>
      <w:r w:rsidRPr="00761243">
        <w:rPr>
          <w:rFonts w:ascii="Verdana" w:eastAsia="Calibri" w:hAnsi="Verdana" w:cs="Tahoma"/>
          <w:bCs/>
        </w:rPr>
        <w:t>.</w:t>
      </w:r>
    </w:p>
    <w:p w14:paraId="0C7D70EA" w14:textId="388BBAB8" w:rsidR="00F8009C" w:rsidRDefault="00F8009C" w:rsidP="004D685D">
      <w:pPr>
        <w:spacing w:line="360" w:lineRule="auto"/>
        <w:ind w:left="709"/>
        <w:jc w:val="both"/>
        <w:rPr>
          <w:rFonts w:ascii="Verdana" w:hAnsi="Verdana"/>
        </w:rPr>
      </w:pPr>
      <w:r w:rsidRPr="004D685D">
        <w:rPr>
          <w:rFonts w:ascii="Verdana" w:hAnsi="Verdana"/>
        </w:rPr>
        <w:t>Wykonawca zobowiązany jest do przeprowadzenia wizji lokalnej, celem stwierdzenia i określenia rzeczywistego zakresu prac objętych niniejszym zamówieniem.</w:t>
      </w:r>
    </w:p>
    <w:p w14:paraId="6386E834" w14:textId="77777777" w:rsidR="005109CC" w:rsidRPr="004D685D" w:rsidRDefault="005109CC" w:rsidP="004D685D">
      <w:pPr>
        <w:spacing w:line="360" w:lineRule="auto"/>
        <w:ind w:left="709"/>
        <w:jc w:val="both"/>
        <w:rPr>
          <w:rFonts w:ascii="Verdana" w:hAnsi="Verdana"/>
        </w:rPr>
      </w:pPr>
    </w:p>
    <w:bookmarkEnd w:id="0"/>
    <w:p w14:paraId="6B401D85" w14:textId="4714DDC9" w:rsidR="004D685D" w:rsidRDefault="004D685D" w:rsidP="004D68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 w:rsidRPr="004D685D">
        <w:rPr>
          <w:rFonts w:ascii="Verdana" w:hAnsi="Verdana"/>
          <w:b/>
          <w:bCs/>
        </w:rPr>
        <w:t>Informacje dodatkowe</w:t>
      </w:r>
    </w:p>
    <w:p w14:paraId="157AEED0" w14:textId="270BD5DF" w:rsidR="005109CC" w:rsidRPr="005109CC" w:rsidRDefault="005109CC" w:rsidP="005109CC">
      <w:pPr>
        <w:spacing w:line="360" w:lineRule="auto"/>
        <w:ind w:left="709"/>
        <w:jc w:val="both"/>
        <w:rPr>
          <w:rFonts w:ascii="Verdana" w:hAnsi="Verdana"/>
        </w:rPr>
      </w:pPr>
      <w:r w:rsidRPr="005109CC">
        <w:rPr>
          <w:rFonts w:ascii="Verdana" w:hAnsi="Verdana"/>
        </w:rPr>
        <w:t xml:space="preserve">Termin wykonania Zamówienia: 1 miesiąc od uzgodnionego terminu rozpoczęcia </w:t>
      </w:r>
      <w:r>
        <w:rPr>
          <w:rFonts w:ascii="Verdana" w:hAnsi="Verdana"/>
        </w:rPr>
        <w:t>robót.</w:t>
      </w:r>
    </w:p>
    <w:p w14:paraId="37E5A2BA" w14:textId="4245514D" w:rsidR="00DF41A6" w:rsidRPr="00DF41A6" w:rsidRDefault="005109CC" w:rsidP="00DF41A6">
      <w:pPr>
        <w:spacing w:line="360" w:lineRule="auto"/>
        <w:ind w:left="709"/>
        <w:jc w:val="both"/>
        <w:rPr>
          <w:rFonts w:ascii="Verdana" w:hAnsi="Verdana"/>
        </w:rPr>
      </w:pPr>
      <w:r w:rsidRPr="005109CC">
        <w:rPr>
          <w:rFonts w:ascii="Verdana" w:hAnsi="Verdana"/>
        </w:rPr>
        <w:t>Na przedmiot Zamówienia Wykonawca udziela min. 36 miesięcznej gwarancji. Bieg terminu gwarancji rozpoczyna się w dniu następnym po odbiorze końcowym przedmiotu Umowy.</w:t>
      </w:r>
    </w:p>
    <w:p w14:paraId="150CD0C6" w14:textId="02E641E0" w:rsidR="00DF41A6" w:rsidRDefault="00DF41A6" w:rsidP="00DF41A6">
      <w:pPr>
        <w:spacing w:line="360" w:lineRule="auto"/>
        <w:ind w:left="709"/>
        <w:jc w:val="both"/>
        <w:rPr>
          <w:rFonts w:ascii="Verdana" w:hAnsi="Verdana"/>
        </w:rPr>
      </w:pPr>
      <w:r w:rsidRPr="00DF41A6">
        <w:rPr>
          <w:rFonts w:ascii="Verdana" w:hAnsi="Verdana"/>
        </w:rPr>
        <w:t>Płatność: 30 dni od otrzymania faktury</w:t>
      </w:r>
      <w:r w:rsidR="005109CC">
        <w:rPr>
          <w:rFonts w:ascii="Verdana" w:hAnsi="Verdana"/>
        </w:rPr>
        <w:t>.</w:t>
      </w:r>
    </w:p>
    <w:p w14:paraId="5679D928" w14:textId="228D15A3" w:rsidR="005109CC" w:rsidRDefault="005109C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983CD4F" w14:textId="77777777" w:rsidR="005109CC" w:rsidRDefault="005109CC" w:rsidP="00DF41A6">
      <w:pPr>
        <w:spacing w:line="360" w:lineRule="auto"/>
        <w:ind w:left="709"/>
        <w:jc w:val="both"/>
        <w:rPr>
          <w:rFonts w:ascii="Verdana" w:hAnsi="Verdana"/>
        </w:rPr>
      </w:pPr>
    </w:p>
    <w:p w14:paraId="562B92F4" w14:textId="77777777" w:rsidR="00580284" w:rsidRPr="00DF41A6" w:rsidRDefault="00580284" w:rsidP="00DF41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 w:rsidRPr="00DF41A6">
        <w:rPr>
          <w:rFonts w:ascii="Verdana" w:hAnsi="Verdana"/>
          <w:b/>
          <w:bCs/>
        </w:rPr>
        <w:t xml:space="preserve">Warunki prowadzenia prac przez firmy zewnętrzne w obiektach </w:t>
      </w:r>
    </w:p>
    <w:p w14:paraId="5C1F6CF8" w14:textId="2DD16C11" w:rsidR="00580284" w:rsidRPr="00580284" w:rsidRDefault="00580284" w:rsidP="00580284">
      <w:pPr>
        <w:spacing w:after="0" w:line="360" w:lineRule="auto"/>
        <w:jc w:val="center"/>
        <w:rPr>
          <w:rFonts w:ascii="Verdana" w:hAnsi="Verdana"/>
          <w:b/>
        </w:rPr>
      </w:pPr>
      <w:r w:rsidRPr="00580284">
        <w:rPr>
          <w:rFonts w:ascii="Verdana" w:hAnsi="Verdana"/>
        </w:rPr>
        <w:t>Sieci Badawczej ŁUKASIEWICZ - PORT Polskiego Ośrodka Rozwoju Technologii</w:t>
      </w:r>
    </w:p>
    <w:p w14:paraId="3CA43DAF" w14:textId="77777777" w:rsidR="00580284" w:rsidRPr="00C223E1" w:rsidRDefault="00580284" w:rsidP="00580284">
      <w:pPr>
        <w:spacing w:after="120" w:line="360" w:lineRule="auto"/>
        <w:jc w:val="center"/>
        <w:rPr>
          <w:rFonts w:ascii="Verdana" w:hAnsi="Verdana"/>
        </w:rPr>
      </w:pPr>
      <w:r w:rsidRPr="00C223E1">
        <w:rPr>
          <w:rFonts w:ascii="Verdana" w:hAnsi="Verdana"/>
        </w:rPr>
        <w:t>obowiązujące od dnia 15.05.2018 r.</w:t>
      </w:r>
    </w:p>
    <w:p w14:paraId="03DF4961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 xml:space="preserve">Wszelkie prace prowadzone przez firmy zewnętrzne na terenie Sieci Badawczej ŁUKASIEWICZ- PORT Polskiego Ośrodka Rozwoju Technologii zgłaszane są </w:t>
      </w:r>
      <w:r w:rsidRPr="00580284">
        <w:rPr>
          <w:rFonts w:ascii="Verdana" w:hAnsi="Verdana"/>
          <w:b/>
        </w:rPr>
        <w:t>na piśmie</w:t>
      </w:r>
      <w:r w:rsidRPr="00580284">
        <w:rPr>
          <w:rFonts w:ascii="Verdana" w:hAnsi="Verdana"/>
        </w:rPr>
        <w:t xml:space="preserve"> do Sieci Badawczej ŁUKASIEWICZ - PORT </w:t>
      </w:r>
      <w:r w:rsidRPr="00580284">
        <w:rPr>
          <w:rFonts w:ascii="Verdana" w:hAnsi="Verdana"/>
          <w:b/>
        </w:rPr>
        <w:t>do godziny 15:00</w:t>
      </w:r>
      <w:r w:rsidRPr="00580284">
        <w:rPr>
          <w:rFonts w:ascii="Verdana" w:hAnsi="Verdana"/>
        </w:rPr>
        <w:t xml:space="preserve"> dnia poprzedzającego rozpoczęcie prac. </w:t>
      </w:r>
      <w:r w:rsidRPr="00580284">
        <w:rPr>
          <w:rFonts w:ascii="Verdana" w:hAnsi="Verdana"/>
          <w:b/>
        </w:rPr>
        <w:t>Zgłoszenie musi być zatwierdzone pisemnie przez pracownika Sieci Badawczej Łukasiewicz- PORT.</w:t>
      </w:r>
      <w:r w:rsidRPr="00580284">
        <w:rPr>
          <w:rFonts w:ascii="Verdana" w:hAnsi="Verdana"/>
        </w:rPr>
        <w:t xml:space="preserve"> Dopuszcza się zatwierdzenie poprzez email na adres podany przez firmę zewnętrzną.</w:t>
      </w:r>
    </w:p>
    <w:p w14:paraId="280EC9CF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 xml:space="preserve">Dopuszcza się zgłoszenie prac mailem na adres: </w:t>
      </w:r>
      <w:hyperlink r:id="rId8" w:history="1">
        <w:r w:rsidRPr="00580284">
          <w:rPr>
            <w:rStyle w:val="Hipercze"/>
            <w:rFonts w:ascii="Verdana" w:hAnsi="Verdana"/>
          </w:rPr>
          <w:t>imię.nazwisko@port.org.pl</w:t>
        </w:r>
      </w:hyperlink>
      <w:r w:rsidRPr="00580284">
        <w:rPr>
          <w:rFonts w:ascii="Verdana" w:hAnsi="Verdana"/>
        </w:rPr>
        <w:t xml:space="preserve"> i </w:t>
      </w:r>
      <w:hyperlink r:id="rId9" w:history="1">
        <w:r w:rsidRPr="00580284">
          <w:rPr>
            <w:rStyle w:val="Hipercze"/>
            <w:rFonts w:ascii="Verdana" w:hAnsi="Verdana"/>
          </w:rPr>
          <w:t>infrastruktura@port.or.pl</w:t>
        </w:r>
      </w:hyperlink>
      <w:r w:rsidRPr="00580284">
        <w:rPr>
          <w:rFonts w:ascii="Verdana" w:hAnsi="Verdana"/>
        </w:rPr>
        <w:t xml:space="preserve"> Zgłoszenie mailem nie zwalnia zgłaszającego z konieczności uzyskania zatwierdzenia zgłoszenia prac. </w:t>
      </w:r>
    </w:p>
    <w:p w14:paraId="5A60CD2F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 xml:space="preserve">Wszelkie prace odbywają się </w:t>
      </w:r>
      <w:r w:rsidRPr="00580284">
        <w:rPr>
          <w:rFonts w:ascii="Verdana" w:hAnsi="Verdana"/>
          <w:b/>
        </w:rPr>
        <w:t>w godzinach 8:00-16:00.</w:t>
      </w:r>
      <w:r w:rsidRPr="00580284">
        <w:rPr>
          <w:rFonts w:ascii="Verdana" w:hAnsi="Verdana"/>
        </w:rPr>
        <w:t xml:space="preserve"> </w:t>
      </w:r>
    </w:p>
    <w:p w14:paraId="4EAC6CC0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 xml:space="preserve">Wyjątek stanowią prace prowadzące do usunięcia awarii zagrażającej życiu, zdrowiu lub bezpieczeństwu pracowników Sieci Badawczej Łukasiewicz- PORT lub zwiedzających albo powodującej konieczność zamknięcia (wyłączenia lub częściowego wyłączenia) budynków Sieci Badawczej Łukasiewicz- PORT. Termin usunięcia w/w awarii strony ustalają pisemnie. Dopuszcza się ustalenie terminu mailem na adres: </w:t>
      </w:r>
      <w:hyperlink r:id="rId10" w:history="1">
        <w:r w:rsidRPr="00580284">
          <w:rPr>
            <w:rStyle w:val="Hipercze"/>
            <w:rFonts w:ascii="Verdana" w:hAnsi="Verdana"/>
          </w:rPr>
          <w:t>imię.nazwisko@port.org.pl</w:t>
        </w:r>
      </w:hyperlink>
      <w:r w:rsidRPr="00580284">
        <w:rPr>
          <w:rFonts w:ascii="Verdana" w:hAnsi="Verdana"/>
        </w:rPr>
        <w:t xml:space="preserve"> oraz </w:t>
      </w:r>
      <w:hyperlink r:id="rId11" w:history="1">
        <w:r w:rsidRPr="00580284">
          <w:rPr>
            <w:rStyle w:val="Hipercze"/>
            <w:rFonts w:ascii="Verdana" w:hAnsi="Verdana"/>
          </w:rPr>
          <w:t>infrastruktura@port.org.pl</w:t>
        </w:r>
      </w:hyperlink>
    </w:p>
    <w:p w14:paraId="47D4D213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>Prawidłowe zgłoszenie prac obowiązkowo musi zawierać następujące informacje:</w:t>
      </w:r>
    </w:p>
    <w:p w14:paraId="4A8BF1F4" w14:textId="77777777" w:rsidR="00580284" w:rsidRPr="00580284" w:rsidRDefault="00580284" w:rsidP="00580284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</w:rPr>
      </w:pPr>
      <w:r w:rsidRPr="00580284">
        <w:rPr>
          <w:rFonts w:ascii="Verdana" w:hAnsi="Verdana"/>
        </w:rPr>
        <w:t>Imiona i nazwiska pracowników</w:t>
      </w:r>
    </w:p>
    <w:p w14:paraId="75CDE951" w14:textId="77777777" w:rsidR="00580284" w:rsidRPr="00580284" w:rsidRDefault="00580284" w:rsidP="00580284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</w:rPr>
      </w:pPr>
      <w:r w:rsidRPr="00580284">
        <w:rPr>
          <w:rFonts w:ascii="Verdana" w:hAnsi="Verdana"/>
        </w:rPr>
        <w:t>Funkcje pracowników</w:t>
      </w:r>
    </w:p>
    <w:p w14:paraId="777CB3CC" w14:textId="77777777" w:rsidR="00580284" w:rsidRPr="00580284" w:rsidRDefault="00580284" w:rsidP="00580284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</w:rPr>
      </w:pPr>
      <w:r w:rsidRPr="00580284">
        <w:rPr>
          <w:rFonts w:ascii="Verdana" w:hAnsi="Verdana"/>
        </w:rPr>
        <w:t xml:space="preserve">Nr i seria aktualnego dowodu tożsamości pracowników i kierownika robót </w:t>
      </w:r>
    </w:p>
    <w:p w14:paraId="060A7E31" w14:textId="77777777" w:rsidR="00580284" w:rsidRPr="00580284" w:rsidRDefault="00580284" w:rsidP="00580284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</w:rPr>
      </w:pPr>
      <w:r w:rsidRPr="00580284">
        <w:rPr>
          <w:rFonts w:ascii="Verdana" w:hAnsi="Verdana"/>
        </w:rPr>
        <w:t>Rodzaj wykonywanych prac</w:t>
      </w:r>
    </w:p>
    <w:p w14:paraId="5B97D2A0" w14:textId="77777777" w:rsidR="00580284" w:rsidRPr="00580284" w:rsidRDefault="00580284" w:rsidP="00580284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</w:rPr>
      </w:pPr>
      <w:r w:rsidRPr="00580284">
        <w:rPr>
          <w:rFonts w:ascii="Verdana" w:hAnsi="Verdana"/>
        </w:rPr>
        <w:t>Imię i nazwisko, nr telefonu osoby nadzorującej prace</w:t>
      </w:r>
    </w:p>
    <w:p w14:paraId="6A782022" w14:textId="77777777" w:rsidR="00580284" w:rsidRPr="00580284" w:rsidRDefault="00580284" w:rsidP="00580284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</w:rPr>
      </w:pPr>
      <w:r w:rsidRPr="00580284">
        <w:rPr>
          <w:rFonts w:ascii="Verdana" w:hAnsi="Verdana"/>
        </w:rPr>
        <w:t>Dokładny termin wykonywania prac</w:t>
      </w:r>
    </w:p>
    <w:p w14:paraId="1D75BAA7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 xml:space="preserve">Każdy pracownik firmy zewnętrznej ma obowiązek okazać pracownikowi Sieci Badawczej Łukasiewicz- PORT oraz ochronie obiektów Sieci Badawczej Łukasiewicz- PORT dowód tożsamości w celu weryfikacji, czy znajduje się na </w:t>
      </w:r>
      <w:r w:rsidRPr="00580284">
        <w:rPr>
          <w:rFonts w:ascii="Verdana" w:hAnsi="Verdana"/>
        </w:rPr>
        <w:lastRenderedPageBreak/>
        <w:t xml:space="preserve">liście osób zgłoszonych do pracy – jakakolwiek niezgodność danych z dowodu tożsamości z danymi z listy osób zgłoszonych powoduje brak zgody na wykonywanie prac. </w:t>
      </w:r>
    </w:p>
    <w:p w14:paraId="48866DA3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>Dopuszczane dowody tożsamości to aktualny dowód, paszport, prawo jazdy.</w:t>
      </w:r>
    </w:p>
    <w:p w14:paraId="6828DF4D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 xml:space="preserve">Pracownik, który odmówi okazania dowodu tożsamości, lub który nie posiada dowodu tożsamości nie zostanie dopuszczony do wykonywania prac.   </w:t>
      </w:r>
    </w:p>
    <w:p w14:paraId="030B8C0E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>Osoby niezgłoszone prawidłowo nie zostaną dopuszczone do wykonywania jakichkolwiek prac.</w:t>
      </w:r>
    </w:p>
    <w:p w14:paraId="6D08AAF5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>W czasie wykonywania prac obowiązuje całkowity zakaz palenia.</w:t>
      </w:r>
    </w:p>
    <w:p w14:paraId="009369DA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>W czasie wykonania prac pracownicy firmy zewnętrznej zobowiązani są do przestrzegania przepisów BHP i ppoż.</w:t>
      </w:r>
    </w:p>
    <w:p w14:paraId="32508984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 xml:space="preserve">W czasie wykonywania prac pracownicy firmy zewnętrznej zobowiązani są do zabezpieczenia terenu prac, zgodnie z wymaganiami przepisów BHP.  </w:t>
      </w:r>
    </w:p>
    <w:p w14:paraId="56B86512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 xml:space="preserve"> W czasie wykonania prac pracownicy firmy zewnętrznej zobowiązani są do dostosowania się do wszelkich zarządzeń, regulaminów, procedur i zasad obowiązujących w Sieci Badawczej Łukasiewicz- PORT w zakresie ich dotyczącym. </w:t>
      </w:r>
    </w:p>
    <w:p w14:paraId="7B0A39E4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 xml:space="preserve">Firma zewnętrzna jest zobowiązana do dostarczenia wszelkich narzędzi, materiałów i części niezbędnych do wykonywania prac. Wszelkie prace wykonywane są na koszt, ryzyko i staraniem firmy zewnętrznej. </w:t>
      </w:r>
    </w:p>
    <w:p w14:paraId="525BD9F6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 xml:space="preserve">Transport wszelkich narzędzi, materiałów i części niezbędnych do wykonywania prac odbywa się na koszt, ryzyko i staraniem firmy zewnętrznej. </w:t>
      </w:r>
    </w:p>
    <w:p w14:paraId="28C58F35" w14:textId="77777777" w:rsidR="00580284" w:rsidRPr="00580284" w:rsidRDefault="00580284" w:rsidP="00580284">
      <w:pPr>
        <w:numPr>
          <w:ilvl w:val="0"/>
          <w:numId w:val="17"/>
        </w:numPr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 xml:space="preserve">Firma zewnętrzna oświadcza, że posiada kwalifikacje do wykonania prac. </w:t>
      </w:r>
    </w:p>
    <w:p w14:paraId="3E1399C1" w14:textId="77777777" w:rsidR="00580284" w:rsidRPr="00580284" w:rsidRDefault="00580284" w:rsidP="00580284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10FE4F1E" w14:textId="304659D5" w:rsidR="00580284" w:rsidRDefault="00580284" w:rsidP="00580284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 xml:space="preserve">Firma zewnętrzna zobowiązana jest do zachowania w poufności wszelkich informacji technicznych, finansowych handlowych, prawnych </w:t>
      </w:r>
      <w:r w:rsidRPr="00580284">
        <w:rPr>
          <w:rFonts w:ascii="Verdana" w:hAnsi="Verdana"/>
        </w:rPr>
        <w:br/>
        <w:t xml:space="preserve">i organizacyjnych uzyskanych w związku z realizacją zamówienia, niezależnie od formy uzyskania tych informacji oraz ich źródła. </w:t>
      </w:r>
    </w:p>
    <w:p w14:paraId="15F10FA8" w14:textId="77777777" w:rsidR="00BA6684" w:rsidRPr="00BA6684" w:rsidRDefault="00BA6684" w:rsidP="00BA66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</w:p>
    <w:p w14:paraId="072DE8C0" w14:textId="77777777" w:rsidR="00580284" w:rsidRPr="00580284" w:rsidRDefault="00580284" w:rsidP="00580284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Verdana" w:hAnsi="Verdana"/>
          <w:u w:val="single"/>
        </w:rPr>
      </w:pPr>
      <w:r w:rsidRPr="00580284">
        <w:rPr>
          <w:rFonts w:ascii="Verdana" w:hAnsi="Verdana"/>
          <w:u w:val="single"/>
        </w:rPr>
        <w:lastRenderedPageBreak/>
        <w:t>Ochrona danych osobowych:</w:t>
      </w:r>
    </w:p>
    <w:p w14:paraId="0746BFBB" w14:textId="77777777" w:rsidR="00580284" w:rsidRPr="00580284" w:rsidRDefault="00580284" w:rsidP="0058028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Verdana" w:hAnsi="Verdana"/>
        </w:rPr>
      </w:pPr>
      <w:r w:rsidRPr="00580284">
        <w:rPr>
          <w:rFonts w:ascii="Verdana" w:hAnsi="Verdana"/>
        </w:rPr>
        <w:t xml:space="preserve">Sieć Badawcza Łukasiewicz- PORT Polski Ośrodek Rozwoju Technologii  oświadcza, że przetwarza dane osobowe zgodnie </w:t>
      </w:r>
      <w:r w:rsidRPr="00580284">
        <w:rPr>
          <w:rFonts w:ascii="Verdana" w:hAnsi="Verdana"/>
        </w:rPr>
        <w:br/>
        <w:t>z powszechnie obowiązującymi przepisami prawa w tym zakresie w szczególności z Rozporządzeniem  Parlamentu Europejskiego i Rady (UE) 2016/679 dnia 27 kwietnia 2016r. w sprawie ochrony osób fizycznych w związku z przetwarzaniem danych osobowych i w sprawie swobodnego przepływu takich danych oraz uchylenia dyrektywy 95/46/WE (ogólne rozporządzenie o ochronie danych/</w:t>
      </w:r>
      <w:proofErr w:type="spellStart"/>
      <w:r w:rsidRPr="00580284">
        <w:rPr>
          <w:rFonts w:ascii="Verdana" w:hAnsi="Verdana"/>
        </w:rPr>
        <w:t>rodo</w:t>
      </w:r>
      <w:proofErr w:type="spellEnd"/>
      <w:r w:rsidRPr="00580284">
        <w:rPr>
          <w:rFonts w:ascii="Verdana" w:hAnsi="Verdana"/>
        </w:rPr>
        <w:t>). Sieć Badawcza Łukasiewicz- PORT dokłada najwyższych starań w celu ochrony informacji i danych osobowych, które gromadzi. Sieć Badawcza Łukasiewicz- PORT zapewnia odpowiednią administracyjną, techniczną i fizyczną ochronę danych osobowych przed przypadkowym, bezprawnym lub nieupoważnionym uszkodzeniem, utratą, modyfikacjami, dostępem, ujawnieniem lub ich wykorzystaniem. Sieć Badawcza Łukasiewicz- PORT przechowuje dane osobowe jedynie tak długo, jak jest to niezbędne dla realizacji celu, dla którego dane osobowe zostały zgromadzone, chyba że co innego wynika z przepisów obowiązującego prawa. Co najmniej do upływu terminu przedawnienia ewentualnych roszczeń wynikających z konkretnego stosunku prawnego (w obrocie profesjonalnym co do zasady termin 3-letni od dnia wymagalności roszczenia)</w:t>
      </w:r>
    </w:p>
    <w:p w14:paraId="3A93CC01" w14:textId="77777777" w:rsidR="00580284" w:rsidRDefault="00580284" w:rsidP="004D685D">
      <w:pPr>
        <w:pStyle w:val="Akapitzlist"/>
        <w:spacing w:line="360" w:lineRule="auto"/>
        <w:jc w:val="both"/>
        <w:rPr>
          <w:rFonts w:ascii="Verdana" w:hAnsi="Verdana"/>
        </w:rPr>
      </w:pPr>
    </w:p>
    <w:p w14:paraId="310D5996" w14:textId="162E01F5" w:rsidR="001B4F64" w:rsidRPr="001B4F64" w:rsidRDefault="001B4F64" w:rsidP="001B4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 w:rsidRPr="001B4F64">
        <w:rPr>
          <w:rFonts w:ascii="Verdana" w:hAnsi="Verdana" w:cs="Arial"/>
          <w:b/>
        </w:rPr>
        <w:t xml:space="preserve">Charakterystyka Budynku nr </w:t>
      </w:r>
      <w:r w:rsidR="00C41940">
        <w:rPr>
          <w:rFonts w:ascii="Verdana" w:hAnsi="Verdana" w:cs="Arial"/>
          <w:b/>
        </w:rPr>
        <w:t>1ABC</w:t>
      </w:r>
    </w:p>
    <w:p w14:paraId="4DA2F2C8" w14:textId="77777777" w:rsidR="00C41940" w:rsidRPr="00C41940" w:rsidRDefault="00C41940" w:rsidP="00C41940">
      <w:pPr>
        <w:spacing w:line="360" w:lineRule="auto"/>
        <w:ind w:firstLine="708"/>
        <w:jc w:val="both"/>
        <w:rPr>
          <w:rFonts w:ascii="Verdana" w:hAnsi="Verdana" w:cs="Arial"/>
        </w:rPr>
      </w:pPr>
      <w:r w:rsidRPr="00C41940">
        <w:rPr>
          <w:rFonts w:ascii="Verdana" w:hAnsi="Verdana" w:cs="Arial"/>
        </w:rPr>
        <w:t>Budynek</w:t>
      </w:r>
      <w:r w:rsidRPr="00C41940">
        <w:rPr>
          <w:rFonts w:ascii="Verdana" w:hAnsi="Verdana" w:cs="Arial"/>
          <w:b/>
        </w:rPr>
        <w:t xml:space="preserve"> </w:t>
      </w:r>
      <w:r w:rsidRPr="00C41940">
        <w:rPr>
          <w:rFonts w:ascii="Verdana" w:hAnsi="Verdana" w:cs="Arial"/>
        </w:rPr>
        <w:t>stanowi część 1A - biurowo-administracyjną i 1BC - badawczo-rozwojową (laboratoria).</w:t>
      </w:r>
    </w:p>
    <w:p w14:paraId="7F48CFF9" w14:textId="77777777" w:rsidR="00C41940" w:rsidRPr="00C41940" w:rsidRDefault="00C41940" w:rsidP="00C41940">
      <w:pPr>
        <w:spacing w:line="360" w:lineRule="auto"/>
        <w:jc w:val="both"/>
        <w:rPr>
          <w:rFonts w:ascii="Verdana" w:hAnsi="Verdana" w:cs="Arial"/>
          <w:iCs/>
        </w:rPr>
      </w:pPr>
      <w:r w:rsidRPr="00C41940">
        <w:rPr>
          <w:rFonts w:ascii="Verdana" w:hAnsi="Verdana" w:cs="Arial"/>
          <w:iCs/>
        </w:rPr>
        <w:t>Podstawowe parametry techniczne:</w:t>
      </w:r>
    </w:p>
    <w:p w14:paraId="275F8430" w14:textId="5B3348A7" w:rsidR="00C41940" w:rsidRPr="00C41940" w:rsidRDefault="00C41940" w:rsidP="00C419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iCs/>
        </w:rPr>
      </w:pPr>
      <w:r w:rsidRPr="00C41940">
        <w:rPr>
          <w:rFonts w:ascii="Verdana" w:hAnsi="Verdana" w:cs="Arial"/>
          <w:iCs/>
        </w:rPr>
        <w:t xml:space="preserve">powierzchnia netto </w:t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  <w:t>4 984,67 m</w:t>
      </w:r>
      <w:r w:rsidRPr="00C41940">
        <w:rPr>
          <w:rFonts w:ascii="Verdana" w:hAnsi="Verdana" w:cs="Arial"/>
          <w:iCs/>
          <w:vertAlign w:val="superscript"/>
        </w:rPr>
        <w:t>2</w:t>
      </w:r>
      <w:r w:rsidRPr="00C41940">
        <w:rPr>
          <w:rFonts w:ascii="Verdana" w:hAnsi="Verdana" w:cs="Arial"/>
          <w:iCs/>
        </w:rPr>
        <w:t>,</w:t>
      </w:r>
    </w:p>
    <w:p w14:paraId="165EDB50" w14:textId="77777777" w:rsidR="00C41940" w:rsidRPr="00C41940" w:rsidRDefault="00C41940" w:rsidP="00C419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iCs/>
        </w:rPr>
      </w:pPr>
      <w:r w:rsidRPr="00C41940">
        <w:rPr>
          <w:rFonts w:ascii="Verdana" w:hAnsi="Verdana" w:cs="Arial"/>
          <w:iCs/>
        </w:rPr>
        <w:t>powierzchnia netto z poddaszem nieużytkowym</w:t>
      </w:r>
      <w:r w:rsidRPr="00C41940">
        <w:rPr>
          <w:rFonts w:ascii="Verdana" w:hAnsi="Verdana" w:cs="Arial"/>
          <w:iCs/>
        </w:rPr>
        <w:tab/>
        <w:t>5 696,01 m</w:t>
      </w:r>
      <w:r w:rsidRPr="00C41940">
        <w:rPr>
          <w:rFonts w:ascii="Verdana" w:hAnsi="Verdana" w:cs="Arial"/>
          <w:iCs/>
          <w:vertAlign w:val="superscript"/>
        </w:rPr>
        <w:t>2</w:t>
      </w:r>
      <w:r w:rsidRPr="00C41940">
        <w:rPr>
          <w:rFonts w:ascii="Verdana" w:hAnsi="Verdana" w:cs="Arial"/>
          <w:iCs/>
        </w:rPr>
        <w:t>,</w:t>
      </w:r>
    </w:p>
    <w:p w14:paraId="5010568A" w14:textId="77777777" w:rsidR="00C41940" w:rsidRPr="00C41940" w:rsidRDefault="00C41940" w:rsidP="00C419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iCs/>
        </w:rPr>
      </w:pPr>
      <w:r w:rsidRPr="00C41940">
        <w:rPr>
          <w:rFonts w:ascii="Verdana" w:hAnsi="Verdana" w:cs="Arial"/>
          <w:iCs/>
        </w:rPr>
        <w:t>powierzchnia użytkowa</w:t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  <w:t>2 985,79 m</w:t>
      </w:r>
      <w:r w:rsidRPr="00C41940">
        <w:rPr>
          <w:rFonts w:ascii="Verdana" w:hAnsi="Verdana" w:cs="Arial"/>
          <w:iCs/>
          <w:vertAlign w:val="superscript"/>
        </w:rPr>
        <w:t>2</w:t>
      </w:r>
      <w:r w:rsidRPr="00C41940">
        <w:rPr>
          <w:rFonts w:ascii="Verdana" w:hAnsi="Verdana" w:cs="Arial"/>
          <w:iCs/>
        </w:rPr>
        <w:t>,</w:t>
      </w:r>
    </w:p>
    <w:p w14:paraId="1DD4DB1B" w14:textId="77777777" w:rsidR="00C41940" w:rsidRPr="00C41940" w:rsidRDefault="00C41940" w:rsidP="00C419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iCs/>
        </w:rPr>
      </w:pPr>
      <w:r w:rsidRPr="00C41940">
        <w:rPr>
          <w:rFonts w:ascii="Verdana" w:hAnsi="Verdana" w:cs="Arial"/>
          <w:iCs/>
        </w:rPr>
        <w:t xml:space="preserve">powierzchnia usługowa </w:t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  <w:t>608,35 m</w:t>
      </w:r>
      <w:r w:rsidRPr="00C41940">
        <w:rPr>
          <w:rFonts w:ascii="Verdana" w:hAnsi="Verdana" w:cs="Arial"/>
          <w:iCs/>
          <w:vertAlign w:val="superscript"/>
        </w:rPr>
        <w:t>2</w:t>
      </w:r>
      <w:r w:rsidRPr="00C41940">
        <w:rPr>
          <w:rFonts w:ascii="Verdana" w:hAnsi="Verdana" w:cs="Arial"/>
          <w:iCs/>
        </w:rPr>
        <w:t>,</w:t>
      </w:r>
    </w:p>
    <w:p w14:paraId="09E64EAA" w14:textId="77777777" w:rsidR="00C41940" w:rsidRPr="00C41940" w:rsidRDefault="00C41940" w:rsidP="00C419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iCs/>
        </w:rPr>
      </w:pPr>
      <w:r w:rsidRPr="00C41940">
        <w:rPr>
          <w:rFonts w:ascii="Verdana" w:hAnsi="Verdana" w:cs="Arial"/>
          <w:iCs/>
        </w:rPr>
        <w:t xml:space="preserve">powierzchnia ruchu </w:t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  <w:t>1 390,53 m</w:t>
      </w:r>
      <w:r w:rsidRPr="00C41940">
        <w:rPr>
          <w:rFonts w:ascii="Verdana" w:hAnsi="Verdana" w:cs="Arial"/>
          <w:iCs/>
          <w:vertAlign w:val="superscript"/>
        </w:rPr>
        <w:t>2</w:t>
      </w:r>
      <w:r w:rsidRPr="00C41940">
        <w:rPr>
          <w:rFonts w:ascii="Verdana" w:hAnsi="Verdana" w:cs="Arial"/>
          <w:iCs/>
        </w:rPr>
        <w:t>,</w:t>
      </w:r>
    </w:p>
    <w:p w14:paraId="6364778B" w14:textId="77777777" w:rsidR="00C41940" w:rsidRPr="00C41940" w:rsidRDefault="00C41940" w:rsidP="00C419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iCs/>
        </w:rPr>
      </w:pPr>
      <w:r w:rsidRPr="00C41940">
        <w:rPr>
          <w:rFonts w:ascii="Verdana" w:hAnsi="Verdana" w:cs="Arial"/>
          <w:iCs/>
        </w:rPr>
        <w:t xml:space="preserve">powierzchnia zabudowy </w:t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  <w:t>2 071,30 m</w:t>
      </w:r>
      <w:r w:rsidRPr="00C41940">
        <w:rPr>
          <w:rFonts w:ascii="Verdana" w:hAnsi="Verdana" w:cs="Arial"/>
          <w:iCs/>
          <w:vertAlign w:val="superscript"/>
        </w:rPr>
        <w:t>2</w:t>
      </w:r>
      <w:r w:rsidRPr="00C41940">
        <w:rPr>
          <w:rFonts w:ascii="Verdana" w:hAnsi="Verdana" w:cs="Arial"/>
          <w:iCs/>
        </w:rPr>
        <w:t>,</w:t>
      </w:r>
    </w:p>
    <w:p w14:paraId="204AFAA5" w14:textId="77777777" w:rsidR="00C41940" w:rsidRPr="00C41940" w:rsidRDefault="00C41940" w:rsidP="00C419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iCs/>
        </w:rPr>
      </w:pPr>
      <w:r w:rsidRPr="00C41940">
        <w:rPr>
          <w:rFonts w:ascii="Verdana" w:hAnsi="Verdana" w:cs="Arial"/>
          <w:iCs/>
        </w:rPr>
        <w:t xml:space="preserve">kubatura 1ABC </w:t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  <w:t>19 124,90 m</w:t>
      </w:r>
      <w:r w:rsidRPr="00C41940">
        <w:rPr>
          <w:rFonts w:ascii="Verdana" w:hAnsi="Verdana" w:cs="Arial"/>
          <w:iCs/>
          <w:vertAlign w:val="superscript"/>
        </w:rPr>
        <w:t>3</w:t>
      </w:r>
      <w:r w:rsidRPr="00C41940">
        <w:rPr>
          <w:rFonts w:ascii="Verdana" w:hAnsi="Verdana" w:cs="Arial"/>
          <w:iCs/>
        </w:rPr>
        <w:t>,</w:t>
      </w:r>
    </w:p>
    <w:p w14:paraId="777E5C09" w14:textId="77777777" w:rsidR="00C41940" w:rsidRPr="00C41940" w:rsidRDefault="00C41940" w:rsidP="00C419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iCs/>
        </w:rPr>
      </w:pPr>
      <w:r w:rsidRPr="00C41940">
        <w:rPr>
          <w:rFonts w:ascii="Verdana" w:hAnsi="Verdana" w:cs="Arial"/>
          <w:iCs/>
        </w:rPr>
        <w:t>kubatura 1A</w:t>
      </w:r>
      <w:r w:rsidRPr="00C41940">
        <w:rPr>
          <w:rFonts w:ascii="Verdana" w:hAnsi="Verdana" w:cs="Arial"/>
          <w:iCs/>
        </w:rPr>
        <w:tab/>
        <w:t xml:space="preserve"> </w:t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  <w:t>12 316,00 m</w:t>
      </w:r>
      <w:r w:rsidRPr="00C41940">
        <w:rPr>
          <w:rFonts w:ascii="Verdana" w:hAnsi="Verdana" w:cs="Arial"/>
          <w:iCs/>
          <w:vertAlign w:val="superscript"/>
        </w:rPr>
        <w:t>3</w:t>
      </w:r>
      <w:r w:rsidRPr="00C41940">
        <w:rPr>
          <w:rFonts w:ascii="Verdana" w:hAnsi="Verdana" w:cs="Arial"/>
          <w:iCs/>
        </w:rPr>
        <w:t>,</w:t>
      </w:r>
    </w:p>
    <w:p w14:paraId="459DCC24" w14:textId="77777777" w:rsidR="00C41940" w:rsidRPr="00C41940" w:rsidRDefault="00C41940" w:rsidP="00C419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iCs/>
        </w:rPr>
      </w:pPr>
      <w:r w:rsidRPr="00C41940">
        <w:rPr>
          <w:rFonts w:ascii="Verdana" w:hAnsi="Verdana" w:cs="Arial"/>
          <w:iCs/>
        </w:rPr>
        <w:t xml:space="preserve">kubatura 1BC </w:t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</w:r>
      <w:r w:rsidRPr="00C41940">
        <w:rPr>
          <w:rFonts w:ascii="Verdana" w:hAnsi="Verdana" w:cs="Arial"/>
          <w:iCs/>
        </w:rPr>
        <w:tab/>
        <w:t>6 808,90</w:t>
      </w:r>
      <w:r w:rsidRPr="00C41940">
        <w:rPr>
          <w:rFonts w:ascii="Verdana" w:hAnsi="Verdana" w:cs="Arial"/>
        </w:rPr>
        <w:t xml:space="preserve"> </w:t>
      </w:r>
      <w:r w:rsidRPr="00C41940">
        <w:rPr>
          <w:rFonts w:ascii="Verdana" w:hAnsi="Verdana" w:cs="Arial"/>
          <w:iCs/>
        </w:rPr>
        <w:t>m</w:t>
      </w:r>
      <w:r w:rsidRPr="00C41940">
        <w:rPr>
          <w:rFonts w:ascii="Verdana" w:hAnsi="Verdana" w:cs="Arial"/>
          <w:iCs/>
          <w:vertAlign w:val="superscript"/>
        </w:rPr>
        <w:t>3</w:t>
      </w:r>
      <w:r w:rsidRPr="00C41940">
        <w:rPr>
          <w:rFonts w:ascii="Verdana" w:hAnsi="Verdana" w:cs="Arial"/>
          <w:iCs/>
        </w:rPr>
        <w:t>,</w:t>
      </w:r>
    </w:p>
    <w:p w14:paraId="51AD591E" w14:textId="77777777" w:rsidR="00C41940" w:rsidRPr="00C41940" w:rsidRDefault="00C41940" w:rsidP="00C41940">
      <w:pPr>
        <w:spacing w:line="360" w:lineRule="auto"/>
        <w:jc w:val="both"/>
        <w:rPr>
          <w:rFonts w:ascii="Verdana" w:hAnsi="Verdana" w:cs="Arial"/>
        </w:rPr>
      </w:pPr>
      <w:r w:rsidRPr="00C41940">
        <w:rPr>
          <w:rFonts w:ascii="Verdana" w:hAnsi="Verdana" w:cs="Arial"/>
        </w:rPr>
        <w:lastRenderedPageBreak/>
        <w:t>Liczba kondygnacji: V kondygnacji nadziemne (w tym poddasze użytkowe). Wieża zegarowa nie jest przeznaczona na pobyt ludzi. I kondygnacja podziemna.</w:t>
      </w:r>
    </w:p>
    <w:p w14:paraId="0240BE27" w14:textId="77777777" w:rsidR="00C41940" w:rsidRPr="00C41940" w:rsidRDefault="00C41940" w:rsidP="00C41940">
      <w:pPr>
        <w:spacing w:line="360" w:lineRule="auto"/>
        <w:ind w:firstLine="708"/>
        <w:jc w:val="both"/>
        <w:rPr>
          <w:rFonts w:ascii="Verdana" w:hAnsi="Verdana" w:cs="Arial"/>
        </w:rPr>
      </w:pPr>
      <w:r w:rsidRPr="00C41940">
        <w:rPr>
          <w:rFonts w:ascii="Verdana" w:hAnsi="Verdana" w:cs="Arial"/>
        </w:rPr>
        <w:t xml:space="preserve">Technologia wykonania: Budynek wykonany w konstrukcji tradycyjnej - murowany. Dach dwuspadowy pokryty dachówką ceramiczna (karpiówką). Więźba dachowa drewniana, stropy betonowe. Nad piwnicą sklepienie ceglane. Ściany nośne wykonane zostały z cegły ceramicznej z zaprawą wapienną. Ściany działowe z cegły, otynkowane lub wykończone płytami gipsowymi, sufity podwieszane z płyt gipsowych. Schody żelbetowe wykończone granitem. Schody drewniane prowadzące do sali konferencyjnej, na belkach policzkowych- nie stanowiące drogi ewakuacyjnej. Podłogi w ciągach komunikacyjnych wykończone granitem, obok pomieszczeń higieniczno- sanitarnych i </w:t>
      </w:r>
      <w:proofErr w:type="spellStart"/>
      <w:r w:rsidRPr="00C41940">
        <w:rPr>
          <w:rFonts w:ascii="Verdana" w:hAnsi="Verdana" w:cs="Arial"/>
        </w:rPr>
        <w:t>administracyjno</w:t>
      </w:r>
      <w:proofErr w:type="spellEnd"/>
      <w:r w:rsidRPr="00C41940">
        <w:rPr>
          <w:rFonts w:ascii="Verdana" w:hAnsi="Verdana" w:cs="Arial"/>
        </w:rPr>
        <w:t xml:space="preserve"> – biurowych oraz w ich wnętrzu wyłożone panelami. W ostatnim czasie budynki 1A i 1BC zostały poddane remontom kompleksowym wraz z przebudową. Realizacja przebudowy i remontu przebiegała dwuetapowo: - I etap – realizowany na podstawie pozwolenia na budowę 2287/08 z dnia 06.10.2008 obejmował część biurową tzw. Budynek 1A, który został zakończony w maju 2010 r., - II etap – realizowany na podstawie pozwolenia na budowę 1215/2009 obejmował pozostałe dwie części budynku (1B i 1C) – został zakończony w kwietniu 2013r., rok budowy: ok. 1902r.</w:t>
      </w:r>
    </w:p>
    <w:p w14:paraId="08CB8103" w14:textId="77777777" w:rsidR="00C41940" w:rsidRPr="00C41940" w:rsidRDefault="00C41940" w:rsidP="00C41940">
      <w:pPr>
        <w:spacing w:line="276" w:lineRule="auto"/>
        <w:ind w:firstLine="708"/>
        <w:jc w:val="both"/>
        <w:rPr>
          <w:rFonts w:ascii="Verdana" w:hAnsi="Verdana" w:cs="Arial"/>
        </w:rPr>
      </w:pPr>
    </w:p>
    <w:p w14:paraId="29AA2A88" w14:textId="04BEB873" w:rsidR="00BF7817" w:rsidRDefault="00BF7817" w:rsidP="00BF7817">
      <w:pPr>
        <w:pStyle w:val="Akapitzlist"/>
        <w:spacing w:line="360" w:lineRule="auto"/>
        <w:jc w:val="both"/>
        <w:rPr>
          <w:rFonts w:ascii="Verdana" w:hAnsi="Verdana"/>
        </w:rPr>
      </w:pPr>
    </w:p>
    <w:p w14:paraId="23B6C3F5" w14:textId="77777777" w:rsidR="001B4F64" w:rsidRDefault="001B4F64" w:rsidP="00BF7817">
      <w:pPr>
        <w:pStyle w:val="Akapitzlist"/>
        <w:spacing w:line="360" w:lineRule="auto"/>
        <w:jc w:val="both"/>
        <w:rPr>
          <w:rFonts w:ascii="Verdana" w:hAnsi="Verdana"/>
        </w:rPr>
      </w:pPr>
    </w:p>
    <w:p w14:paraId="01301339" w14:textId="4F5F5B83" w:rsidR="00430F60" w:rsidRDefault="00430F60" w:rsidP="00430F60">
      <w:pPr>
        <w:pStyle w:val="Akapitzlist"/>
        <w:spacing w:line="360" w:lineRule="auto"/>
        <w:ind w:left="680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Opracował:</w:t>
      </w:r>
    </w:p>
    <w:p w14:paraId="67CE91E3" w14:textId="77777777" w:rsidR="00430F60" w:rsidRDefault="00430F60" w:rsidP="00430F60">
      <w:pPr>
        <w:pStyle w:val="Akapitzlist"/>
        <w:spacing w:line="360" w:lineRule="auto"/>
        <w:ind w:left="6804"/>
        <w:jc w:val="both"/>
        <w:rPr>
          <w:rFonts w:ascii="Verdana" w:hAnsi="Verdana"/>
        </w:rPr>
      </w:pPr>
    </w:p>
    <w:p w14:paraId="4FCF0374" w14:textId="4867224A" w:rsidR="00430F60" w:rsidRDefault="00430F60" w:rsidP="00430F60">
      <w:pPr>
        <w:pStyle w:val="Akapitzlist"/>
        <w:spacing w:line="360" w:lineRule="auto"/>
        <w:ind w:left="6804"/>
        <w:jc w:val="both"/>
        <w:rPr>
          <w:rFonts w:ascii="Verdana" w:hAnsi="Verdana"/>
        </w:rPr>
      </w:pPr>
      <w:r>
        <w:rPr>
          <w:rFonts w:ascii="Verdana" w:hAnsi="Verdana"/>
        </w:rPr>
        <w:t>Wiesław Markiewicz</w:t>
      </w:r>
    </w:p>
    <w:p w14:paraId="5B9E1379" w14:textId="6CEFA504" w:rsidR="00BF7817" w:rsidRDefault="00BF7817">
      <w:pPr>
        <w:rPr>
          <w:rFonts w:ascii="Verdana" w:hAnsi="Verdana"/>
          <w:b/>
          <w:bCs/>
        </w:rPr>
      </w:pPr>
    </w:p>
    <w:sectPr w:rsidR="00BF7817" w:rsidSect="00AF4288">
      <w:footerReference w:type="default" r:id="rId12"/>
      <w:headerReference w:type="first" r:id="rId13"/>
      <w:footerReference w:type="first" r:id="rId14"/>
      <w:pgSz w:w="11906" w:h="16838"/>
      <w:pgMar w:top="-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B6FB" w14:textId="77777777" w:rsidR="00B20ED1" w:rsidRDefault="00B20ED1" w:rsidP="009777E3">
      <w:pPr>
        <w:spacing w:after="0" w:line="240" w:lineRule="auto"/>
      </w:pPr>
      <w:r>
        <w:separator/>
      </w:r>
    </w:p>
  </w:endnote>
  <w:endnote w:type="continuationSeparator" w:id="0">
    <w:p w14:paraId="4A9A09A6" w14:textId="77777777" w:rsidR="00B20ED1" w:rsidRDefault="00B20ED1" w:rsidP="0097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99207"/>
      <w:docPartObj>
        <w:docPartGallery w:val="Page Numbers (Bottom of Page)"/>
        <w:docPartUnique/>
      </w:docPartObj>
    </w:sdtPr>
    <w:sdtEndPr/>
    <w:sdtContent>
      <w:sdt>
        <w:sdtPr>
          <w:id w:val="-321277885"/>
          <w:docPartObj>
            <w:docPartGallery w:val="Page Numbers (Top of Page)"/>
            <w:docPartUnique/>
          </w:docPartObj>
        </w:sdtPr>
        <w:sdtEndPr/>
        <w:sdtContent>
          <w:p w14:paraId="52F115B3" w14:textId="3ADCEB1D" w:rsidR="006351FD" w:rsidRDefault="006351FD" w:rsidP="006351FD">
            <w:pPr>
              <w:pStyle w:val="Stopka"/>
              <w:jc w:val="right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5DA5B95" w14:textId="156415C4" w:rsidR="006351FD" w:rsidRPr="00D40690" w:rsidRDefault="006351FD" w:rsidP="006351FD">
            <w:pPr>
              <w:pStyle w:val="Stopka"/>
              <w:jc w:val="right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</w:p>
        </w:sdtContent>
      </w:sdt>
    </w:sdtContent>
  </w:sdt>
  <w:p w14:paraId="1EC314AD" w14:textId="77777777" w:rsidR="006351FD" w:rsidRPr="00D06D36" w:rsidRDefault="006351FD" w:rsidP="006351FD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CFCEA18" wp14:editId="127DE6F2">
          <wp:simplePos x="0" y="0"/>
          <wp:positionH relativeFrom="column">
            <wp:posOffset>4748530</wp:posOffset>
          </wp:positionH>
          <wp:positionV relativeFrom="page">
            <wp:posOffset>9972675</wp:posOffset>
          </wp:positionV>
          <wp:extent cx="1230630" cy="676275"/>
          <wp:effectExtent l="0" t="0" r="0" b="0"/>
          <wp:wrapNone/>
          <wp:docPr id="269" name="Obraz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10FF2A0" wp14:editId="68AC08BB">
              <wp:simplePos x="0" y="0"/>
              <wp:positionH relativeFrom="margin">
                <wp:align>center</wp:align>
              </wp:positionH>
              <wp:positionV relativeFrom="page">
                <wp:posOffset>9917430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9816F" w14:textId="77777777" w:rsidR="006351FD" w:rsidRDefault="006351FD" w:rsidP="006351FD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6476036" w14:textId="77777777" w:rsidR="006351FD" w:rsidRDefault="006351FD" w:rsidP="006351FD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B42A5C6" w14:textId="77777777" w:rsidR="006351FD" w:rsidRPr="0088567E" w:rsidRDefault="006351FD" w:rsidP="006351FD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567E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56DE7292" w14:textId="77777777" w:rsidR="006351FD" w:rsidRDefault="006351FD" w:rsidP="006351FD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DE3C7B" w14:textId="77777777" w:rsidR="006351FD" w:rsidRPr="00ED7972" w:rsidRDefault="006351FD" w:rsidP="006351FD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FF2A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80.9pt;width:336.15pt;height:17.5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unFgIAAAgEAAAOAAAAZHJzL2Uyb0RvYy54bWysU9tu2zAMfR+wfxD0vtgxli4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3FD9816F" w14:textId="77777777" w:rsidR="006351FD" w:rsidRDefault="006351FD" w:rsidP="006351FD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6476036" w14:textId="77777777" w:rsidR="006351FD" w:rsidRDefault="006351FD" w:rsidP="006351FD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B42A5C6" w14:textId="77777777" w:rsidR="006351FD" w:rsidRPr="0088567E" w:rsidRDefault="006351FD" w:rsidP="006351FD">
                    <w:pPr>
                      <w:pStyle w:val="LukStopka-adres"/>
                      <w:rPr>
                        <w:lang w:val="en-US"/>
                      </w:rPr>
                    </w:pPr>
                    <w:r w:rsidRPr="0088567E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56DE7292" w14:textId="77777777" w:rsidR="006351FD" w:rsidRDefault="006351FD" w:rsidP="006351FD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DE3C7B" w14:textId="77777777" w:rsidR="006351FD" w:rsidRPr="00ED7972" w:rsidRDefault="006351FD" w:rsidP="006351FD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413CEE80" w14:textId="77777777" w:rsidR="006351FD" w:rsidRDefault="006351FD" w:rsidP="006351FD">
    <w:pPr>
      <w:pStyle w:val="Stopka"/>
      <w:ind w:left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4E00" w14:textId="77777777" w:rsidR="00B20ED1" w:rsidRDefault="00B20ED1" w:rsidP="009777E3">
      <w:pPr>
        <w:spacing w:after="0" w:line="240" w:lineRule="auto"/>
      </w:pPr>
      <w:r>
        <w:separator/>
      </w:r>
    </w:p>
  </w:footnote>
  <w:footnote w:type="continuationSeparator" w:id="0">
    <w:p w14:paraId="4F7D22EE" w14:textId="77777777" w:rsidR="00B20ED1" w:rsidRDefault="00B20ED1" w:rsidP="0097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A5E2" w14:textId="1801FA7C" w:rsidR="006351FD" w:rsidRDefault="006351FD" w:rsidP="00407BB3">
    <w:pPr>
      <w:pStyle w:val="Nagwek"/>
      <w:tabs>
        <w:tab w:val="clear" w:pos="4536"/>
        <w:tab w:val="clear" w:pos="9072"/>
        <w:tab w:val="left" w:pos="3150"/>
      </w:tabs>
      <w:spacing w:after="1920"/>
    </w:pPr>
    <w:r w:rsidRPr="005D102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2BEECE" wp14:editId="297527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91625" cy="1609725"/>
          <wp:effectExtent l="0" t="0" r="8890" b="0"/>
          <wp:wrapNone/>
          <wp:docPr id="268" name="Obraz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B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A5B81A9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Verdana" w:hAnsi="Verdana" w:cs="Verdana"/>
        <w:b w:val="0"/>
        <w:color w:val="auto"/>
        <w:sz w:val="18"/>
        <w:szCs w:val="18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Verdana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4E4C1D"/>
    <w:multiLevelType w:val="hybridMultilevel"/>
    <w:tmpl w:val="54F01334"/>
    <w:lvl w:ilvl="0" w:tplc="F0220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E3FE3"/>
    <w:multiLevelType w:val="hybridMultilevel"/>
    <w:tmpl w:val="6576FC26"/>
    <w:lvl w:ilvl="0" w:tplc="E7903A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5682EB9"/>
    <w:multiLevelType w:val="hybridMultilevel"/>
    <w:tmpl w:val="4F606BAE"/>
    <w:lvl w:ilvl="0" w:tplc="D562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75AD1"/>
    <w:multiLevelType w:val="hybridMultilevel"/>
    <w:tmpl w:val="3D4AAA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C31E0"/>
    <w:multiLevelType w:val="hybridMultilevel"/>
    <w:tmpl w:val="12B612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F56A7B"/>
    <w:multiLevelType w:val="hybridMultilevel"/>
    <w:tmpl w:val="C6F67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BD6D8BA">
      <w:start w:val="1"/>
      <w:numFmt w:val="decimal"/>
      <w:lvlText w:val="%2."/>
      <w:lvlJc w:val="left"/>
      <w:pPr>
        <w:ind w:left="156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8153C7"/>
    <w:multiLevelType w:val="hybridMultilevel"/>
    <w:tmpl w:val="29527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B39FE"/>
    <w:multiLevelType w:val="hybridMultilevel"/>
    <w:tmpl w:val="F514B0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B60BD"/>
    <w:multiLevelType w:val="hybridMultilevel"/>
    <w:tmpl w:val="D76840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70F5A"/>
    <w:multiLevelType w:val="hybridMultilevel"/>
    <w:tmpl w:val="47028AAC"/>
    <w:lvl w:ilvl="0" w:tplc="D562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F6640"/>
    <w:multiLevelType w:val="hybridMultilevel"/>
    <w:tmpl w:val="48A67C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B4077F"/>
    <w:multiLevelType w:val="hybridMultilevel"/>
    <w:tmpl w:val="7D48B71A"/>
    <w:lvl w:ilvl="0" w:tplc="D562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62A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13A94"/>
    <w:multiLevelType w:val="hybridMultilevel"/>
    <w:tmpl w:val="C6F67E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BD6D8BA">
      <w:start w:val="1"/>
      <w:numFmt w:val="decimal"/>
      <w:lvlText w:val="%2."/>
      <w:lvlJc w:val="left"/>
      <w:pPr>
        <w:ind w:left="2268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926D9E"/>
    <w:multiLevelType w:val="hybridMultilevel"/>
    <w:tmpl w:val="1A9E8A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F07A34"/>
    <w:multiLevelType w:val="hybridMultilevel"/>
    <w:tmpl w:val="2840A494"/>
    <w:lvl w:ilvl="0" w:tplc="BD305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17"/>
  </w:num>
  <w:num w:numId="7">
    <w:abstractNumId w:val="13"/>
  </w:num>
  <w:num w:numId="8">
    <w:abstractNumId w:val="16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14"/>
  </w:num>
  <w:num w:numId="14">
    <w:abstractNumId w:val="2"/>
  </w:num>
  <w:num w:numId="15">
    <w:abstractNumId w:val="3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BE"/>
    <w:rsid w:val="00001784"/>
    <w:rsid w:val="00005F9C"/>
    <w:rsid w:val="0002196E"/>
    <w:rsid w:val="00081966"/>
    <w:rsid w:val="000A2829"/>
    <w:rsid w:val="000B7861"/>
    <w:rsid w:val="000C66DD"/>
    <w:rsid w:val="000D0FC2"/>
    <w:rsid w:val="000E5282"/>
    <w:rsid w:val="00110EA7"/>
    <w:rsid w:val="00114909"/>
    <w:rsid w:val="001427A6"/>
    <w:rsid w:val="001556B7"/>
    <w:rsid w:val="001B4F64"/>
    <w:rsid w:val="001D2618"/>
    <w:rsid w:val="001E12A9"/>
    <w:rsid w:val="001F79A5"/>
    <w:rsid w:val="00204DAF"/>
    <w:rsid w:val="00280489"/>
    <w:rsid w:val="00285D18"/>
    <w:rsid w:val="002D0859"/>
    <w:rsid w:val="003310F5"/>
    <w:rsid w:val="003A6BA1"/>
    <w:rsid w:val="003A6D9E"/>
    <w:rsid w:val="003C6318"/>
    <w:rsid w:val="003E1EE0"/>
    <w:rsid w:val="00407BB3"/>
    <w:rsid w:val="00410A2A"/>
    <w:rsid w:val="00417271"/>
    <w:rsid w:val="00430F60"/>
    <w:rsid w:val="00454E65"/>
    <w:rsid w:val="0046580B"/>
    <w:rsid w:val="004D685D"/>
    <w:rsid w:val="004F090E"/>
    <w:rsid w:val="005109CC"/>
    <w:rsid w:val="005232C0"/>
    <w:rsid w:val="005311E6"/>
    <w:rsid w:val="00561E93"/>
    <w:rsid w:val="00580284"/>
    <w:rsid w:val="005A1B76"/>
    <w:rsid w:val="005B7BD3"/>
    <w:rsid w:val="005C0526"/>
    <w:rsid w:val="005E3E67"/>
    <w:rsid w:val="005E56B5"/>
    <w:rsid w:val="005F1B64"/>
    <w:rsid w:val="00613DE3"/>
    <w:rsid w:val="00616B94"/>
    <w:rsid w:val="006351FD"/>
    <w:rsid w:val="0065590C"/>
    <w:rsid w:val="0065643D"/>
    <w:rsid w:val="0066730C"/>
    <w:rsid w:val="006958B1"/>
    <w:rsid w:val="006A0CCF"/>
    <w:rsid w:val="006A676C"/>
    <w:rsid w:val="007071E5"/>
    <w:rsid w:val="0072615E"/>
    <w:rsid w:val="007535C0"/>
    <w:rsid w:val="00761243"/>
    <w:rsid w:val="0078321E"/>
    <w:rsid w:val="007836BC"/>
    <w:rsid w:val="007A1E35"/>
    <w:rsid w:val="007A49CA"/>
    <w:rsid w:val="007B3B74"/>
    <w:rsid w:val="007D457D"/>
    <w:rsid w:val="007E0A8F"/>
    <w:rsid w:val="0080420A"/>
    <w:rsid w:val="00805963"/>
    <w:rsid w:val="00807855"/>
    <w:rsid w:val="008E2408"/>
    <w:rsid w:val="008E33F6"/>
    <w:rsid w:val="00950583"/>
    <w:rsid w:val="00951738"/>
    <w:rsid w:val="00967767"/>
    <w:rsid w:val="00974D96"/>
    <w:rsid w:val="00975443"/>
    <w:rsid w:val="00976C58"/>
    <w:rsid w:val="009777E3"/>
    <w:rsid w:val="009A064E"/>
    <w:rsid w:val="009F181F"/>
    <w:rsid w:val="009F41AD"/>
    <w:rsid w:val="00A15611"/>
    <w:rsid w:val="00A227C4"/>
    <w:rsid w:val="00A35BCA"/>
    <w:rsid w:val="00A40BBE"/>
    <w:rsid w:val="00A54384"/>
    <w:rsid w:val="00A65354"/>
    <w:rsid w:val="00A70992"/>
    <w:rsid w:val="00A81B52"/>
    <w:rsid w:val="00AF0187"/>
    <w:rsid w:val="00AF4288"/>
    <w:rsid w:val="00B02D29"/>
    <w:rsid w:val="00B030F0"/>
    <w:rsid w:val="00B1000E"/>
    <w:rsid w:val="00B20ED1"/>
    <w:rsid w:val="00B9140E"/>
    <w:rsid w:val="00B93E82"/>
    <w:rsid w:val="00BA6684"/>
    <w:rsid w:val="00BF7817"/>
    <w:rsid w:val="00C016AE"/>
    <w:rsid w:val="00C223E1"/>
    <w:rsid w:val="00C35F3D"/>
    <w:rsid w:val="00C41940"/>
    <w:rsid w:val="00C5432E"/>
    <w:rsid w:val="00C66299"/>
    <w:rsid w:val="00C77CCA"/>
    <w:rsid w:val="00C97CDC"/>
    <w:rsid w:val="00CB584A"/>
    <w:rsid w:val="00D14901"/>
    <w:rsid w:val="00D5205D"/>
    <w:rsid w:val="00D615A6"/>
    <w:rsid w:val="00D80188"/>
    <w:rsid w:val="00D91868"/>
    <w:rsid w:val="00DD1F45"/>
    <w:rsid w:val="00DF41A6"/>
    <w:rsid w:val="00E018AE"/>
    <w:rsid w:val="00E63C43"/>
    <w:rsid w:val="00E71C18"/>
    <w:rsid w:val="00E97A9F"/>
    <w:rsid w:val="00EA44AD"/>
    <w:rsid w:val="00EF4813"/>
    <w:rsid w:val="00F028E2"/>
    <w:rsid w:val="00F1752E"/>
    <w:rsid w:val="00F40C32"/>
    <w:rsid w:val="00F8009C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B5A500"/>
  <w15:chartTrackingRefBased/>
  <w15:docId w15:val="{7A410F12-7F3B-4372-AB37-F5427AB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4D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35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7E3"/>
  </w:style>
  <w:style w:type="paragraph" w:styleId="Stopka">
    <w:name w:val="footer"/>
    <w:basedOn w:val="Normalny"/>
    <w:link w:val="StopkaZnak"/>
    <w:uiPriority w:val="99"/>
    <w:unhideWhenUsed/>
    <w:rsid w:val="0097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7E3"/>
  </w:style>
  <w:style w:type="paragraph" w:customStyle="1" w:styleId="LukStopka-adres">
    <w:name w:val="Luk_Stopka-adres"/>
    <w:basedOn w:val="Normalny"/>
    <w:qFormat/>
    <w:rsid w:val="006351FD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paragraph" w:styleId="Bezodstpw">
    <w:name w:val="No Spacing"/>
    <w:link w:val="BezodstpwZnak"/>
    <w:uiPriority w:val="1"/>
    <w:qFormat/>
    <w:rsid w:val="001B4F64"/>
    <w:pPr>
      <w:spacing w:after="0" w:line="240" w:lineRule="auto"/>
    </w:pPr>
    <w:rPr>
      <w:rFonts w:ascii="Tahoma" w:eastAsia="Calibri" w:hAnsi="Tahoma" w:cs="Times New Roman"/>
      <w:color w:val="808284"/>
    </w:rPr>
  </w:style>
  <w:style w:type="character" w:customStyle="1" w:styleId="BezodstpwZnak">
    <w:name w:val="Bez odstępów Znak"/>
    <w:link w:val="Bezodstpw"/>
    <w:uiPriority w:val="1"/>
    <w:rsid w:val="001B4F64"/>
    <w:rPr>
      <w:rFonts w:ascii="Tahoma" w:eastAsia="Calibri" w:hAnsi="Tahoma" w:cs="Times New Roman"/>
      <w:color w:val="80828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C1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71C1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4C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D457D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F0187"/>
    <w:rPr>
      <w:b/>
      <w:bCs/>
    </w:rPr>
  </w:style>
  <w:style w:type="character" w:customStyle="1" w:styleId="AkapitzlistZnak">
    <w:name w:val="Akapit z listą Znak"/>
    <w:link w:val="Akapitzlist"/>
    <w:uiPriority w:val="34"/>
    <w:rsid w:val="0058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6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873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&#281;.nazwisko@port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rastruktura@port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mi&#281;.nazwisko@port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rastruktura@port.or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515D-BE99-4D4C-B08E-07D72A4E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Sobota</dc:creator>
  <cp:keywords/>
  <dc:description/>
  <cp:lastModifiedBy>Aleksandra Orzechowska | Łukasiewicz - PORT Polski Ośrodek Rozwoju Technologii</cp:lastModifiedBy>
  <cp:revision>5</cp:revision>
  <cp:lastPrinted>2020-06-29T08:54:00Z</cp:lastPrinted>
  <dcterms:created xsi:type="dcterms:W3CDTF">2021-05-24T07:32:00Z</dcterms:created>
  <dcterms:modified xsi:type="dcterms:W3CDTF">2021-06-11T12:36:00Z</dcterms:modified>
</cp:coreProperties>
</file>